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D3E8" w14:textId="77777777" w:rsidR="00295325" w:rsidRPr="00D81901" w:rsidRDefault="00295325" w:rsidP="00295325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32"/>
          <w:szCs w:val="32"/>
          <w:lang w:val="en-GB" w:eastAsia="pl-PL"/>
        </w:rPr>
      </w:pPr>
      <w:r w:rsidRPr="00D8190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GB" w:eastAsia="pl-PL"/>
        </w:rPr>
        <w:t>Ladies and Gentlemen,</w:t>
      </w:r>
    </w:p>
    <w:p w14:paraId="35312760" w14:textId="77777777" w:rsidR="00295325" w:rsidRPr="00D81901" w:rsidRDefault="00295325" w:rsidP="00295325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sz w:val="32"/>
          <w:szCs w:val="32"/>
          <w:lang w:val="en-GB" w:eastAsia="pl-PL"/>
        </w:rPr>
      </w:pPr>
      <w:r w:rsidRPr="00D8190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val="en-GB" w:eastAsia="pl-PL"/>
        </w:rPr>
        <w:t> </w:t>
      </w:r>
    </w:p>
    <w:p w14:paraId="39C05B47" w14:textId="7068310F" w:rsidR="00295325" w:rsidRPr="00D81901" w:rsidRDefault="0010741B" w:rsidP="00D72952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val="en-GB" w:eastAsia="pl-PL"/>
        </w:rPr>
      </w:pPr>
      <w:r w:rsidRPr="00D8190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val="en-GB" w:eastAsia="pl-PL"/>
        </w:rPr>
        <w:t>Please read the information on the proper use of funds intended for financing scientific development in 202</w:t>
      </w:r>
      <w:r w:rsidR="00B01996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val="en-GB" w:eastAsia="pl-PL"/>
        </w:rPr>
        <w:t>5</w:t>
      </w:r>
      <w:r w:rsidRPr="00D81901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val="en-GB" w:eastAsia="pl-PL"/>
        </w:rPr>
        <w:t>.</w:t>
      </w:r>
    </w:p>
    <w:p w14:paraId="6A5A052C" w14:textId="75A0F94C" w:rsidR="00455630" w:rsidRPr="00D81901" w:rsidRDefault="005D46BE" w:rsidP="00D72952">
      <w:pPr>
        <w:spacing w:after="0" w:line="360" w:lineRule="auto"/>
        <w:rPr>
          <w:rFonts w:ascii="Calibri" w:eastAsia="Times New Roman" w:hAnsi="Calibri" w:cs="Calibri"/>
          <w:b/>
          <w:bCs/>
          <w:i/>
          <w:iCs/>
          <w:color w:val="FF0000"/>
          <w:sz w:val="32"/>
          <w:szCs w:val="32"/>
          <w:lang w:val="en-GB" w:eastAsia="pl-PL"/>
        </w:rPr>
      </w:pPr>
      <w:r w:rsidRPr="00D8190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val="en-GB" w:eastAsia="pl-PL"/>
        </w:rPr>
        <w:t>Only financial documents consistent with the content of the catalogue of expenditures and cost estimate will be settled</w:t>
      </w:r>
      <w:r w:rsidR="00455630" w:rsidRPr="00D81901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val="en-GB" w:eastAsia="pl-PL"/>
        </w:rPr>
        <w:t>.</w:t>
      </w:r>
    </w:p>
    <w:p w14:paraId="237A7E9F" w14:textId="77777777" w:rsidR="00295325" w:rsidRPr="00D81901" w:rsidRDefault="00295325" w:rsidP="00D72952">
      <w:pPr>
        <w:spacing w:after="0" w:line="360" w:lineRule="auto"/>
        <w:rPr>
          <w:rFonts w:ascii="Calibri" w:eastAsia="Times New Roman" w:hAnsi="Calibri" w:cs="Calibri"/>
          <w:i/>
          <w:iCs/>
          <w:lang w:val="en-GB" w:eastAsia="pl-PL"/>
        </w:rPr>
      </w:pPr>
      <w:r w:rsidRPr="00D81901">
        <w:rPr>
          <w:rFonts w:ascii="Times New Roman" w:eastAsia="Times New Roman" w:hAnsi="Times New Roman" w:cs="Times New Roman"/>
          <w:i/>
          <w:iCs/>
          <w:sz w:val="36"/>
          <w:szCs w:val="36"/>
          <w:lang w:val="en-GB" w:eastAsia="pl-PL"/>
        </w:rPr>
        <w:t> </w:t>
      </w:r>
    </w:p>
    <w:p w14:paraId="2D586CB5" w14:textId="6213440C" w:rsidR="00295325" w:rsidRPr="00D81901" w:rsidRDefault="00295325" w:rsidP="003E77DF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highlight w:val="cyan"/>
          <w:lang w:val="en-GB" w:eastAsia="pl-PL"/>
        </w:rPr>
      </w:pPr>
      <w:r w:rsidRPr="00D81901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pl-PL"/>
        </w:rPr>
        <w:t xml:space="preserve">necessary information and forms regarding business trips related to scientific development (grants). </w:t>
      </w:r>
      <w:r w:rsidR="00163969" w:rsidRPr="00D81901">
        <w:rPr>
          <w:rFonts w:ascii="Times New Roman" w:eastAsia="Times New Roman" w:hAnsi="Times New Roman" w:cs="Times New Roman"/>
          <w:b/>
          <w:bCs/>
          <w:sz w:val="36"/>
          <w:szCs w:val="36"/>
          <w:highlight w:val="cyan"/>
          <w:lang w:val="en-GB" w:eastAsia="pl-PL"/>
        </w:rPr>
        <w:t>The deadline for submitting documentation is 14 days before departure. The settlement deadline for the trip is 14 days after return.</w:t>
      </w:r>
    </w:p>
    <w:p w14:paraId="344F3884" w14:textId="77777777" w:rsidR="00295325" w:rsidRPr="00D81901" w:rsidRDefault="00295325" w:rsidP="00295325">
      <w:pPr>
        <w:spacing w:after="0" w:line="240" w:lineRule="auto"/>
        <w:rPr>
          <w:rFonts w:ascii="Calibri" w:eastAsia="Times New Roman" w:hAnsi="Calibri" w:cs="Calibri"/>
          <w:lang w:val="en-GB" w:eastAsia="pl-PL"/>
        </w:rPr>
      </w:pP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 </w:t>
      </w:r>
    </w:p>
    <w:p w14:paraId="5E37F4D8" w14:textId="43888BB6" w:rsidR="00295325" w:rsidRPr="00D81901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val="en-GB" w:eastAsia="pl-PL"/>
        </w:rPr>
      </w:pPr>
      <w:r w:rsidRPr="00D81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GB" w:eastAsia="pl-PL"/>
        </w:rPr>
        <w:t xml:space="preserve">In the case of a domestic </w:t>
      </w:r>
      <w:r w:rsidR="005D46BE" w:rsidRPr="00D81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GB" w:eastAsia="pl-PL"/>
        </w:rPr>
        <w:t>trip</w:t>
      </w:r>
      <w:r w:rsidRPr="00D81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GB" w:eastAsia="pl-PL"/>
        </w:rPr>
        <w:t>,</w:t>
      </w:r>
      <w:r w:rsidRPr="00D81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 w:eastAsia="pl-PL"/>
        </w:rPr>
        <w:t xml:space="preserve"> </w:t>
      </w:r>
      <w:r w:rsidR="005D46BE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please</w:t>
      </w: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 use the </w:t>
      </w:r>
      <w:r w:rsidR="005D46BE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agreement</w:t>
      </w: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 form (Annex No. 1 to Regulation 112/2020), which must be completed in one copy, </w:t>
      </w:r>
      <w:r w:rsidR="005D46BE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signed,</w:t>
      </w: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 and submitted together with the </w:t>
      </w:r>
      <w:r w:rsidR="005D46BE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travel </w:t>
      </w:r>
      <w:r w:rsidR="00B04069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application</w:t>
      </w: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 (Annex No. 2 to Regulation 112/2020) to the Office of the Doctoral School, room no. 5 </w:t>
      </w:r>
      <w:r w:rsidR="00B01996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and no. 2 </w:t>
      </w: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ground floor.</w:t>
      </w:r>
    </w:p>
    <w:p w14:paraId="23B8FAF5" w14:textId="62D62AFF" w:rsidR="00295325" w:rsidRPr="00D81901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val="en-GB" w:eastAsia="pl-PL"/>
        </w:rPr>
      </w:pP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After obtaining signatures on the </w:t>
      </w:r>
      <w:r w:rsidR="005D46BE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agreement</w:t>
      </w: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, the office employee </w:t>
      </w:r>
      <w:r w:rsidR="005D46BE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issues</w:t>
      </w: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 the delegation for the trip.</w:t>
      </w:r>
    </w:p>
    <w:p w14:paraId="0A803F7B" w14:textId="56798696" w:rsidR="00295325" w:rsidRPr="00D81901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val="en-GB" w:eastAsia="pl-PL"/>
        </w:rPr>
      </w:pP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If it is necessary to use your own car, the </w:t>
      </w:r>
      <w:r w:rsidR="005D46BE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agreement</w:t>
      </w: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 must be accompanied by a completed and signed (in the employee's </w:t>
      </w:r>
      <w:r w:rsidR="005D46BE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space</w:t>
      </w: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) application for the use of a private car (Annex No. 4 to Regulation 112/2020), including the reason for the need to travel by car.</w:t>
      </w:r>
    </w:p>
    <w:p w14:paraId="02F06414" w14:textId="1D92EA36" w:rsidR="00295325" w:rsidRPr="00D81901" w:rsidRDefault="00295325" w:rsidP="00FB32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</w:pP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The decision to travel by private car is issued by the Vice-Rector for Organization. In the absence of consent, the </w:t>
      </w:r>
      <w:r w:rsidR="00B04069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trip</w:t>
      </w: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 should be made by another means of transport.</w:t>
      </w:r>
    </w:p>
    <w:p w14:paraId="2DDB9202" w14:textId="685F3EF6" w:rsidR="00163969" w:rsidRPr="00D81901" w:rsidRDefault="00163969" w:rsidP="0016396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</w:pP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-</w:t>
      </w:r>
      <w:r w:rsidR="00B04069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 </w:t>
      </w: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 the settlement of the trip must be accompanied </w:t>
      </w:r>
      <w:proofErr w:type="gramStart"/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by:</w:t>
      </w:r>
      <w:proofErr w:type="gramEnd"/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 second class railway tickets, public transport tickets, bus</w:t>
      </w:r>
      <w:r w:rsidR="00B04069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 tickets</w:t>
      </w: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, invoice for accommodation, food declaration (Annex No. 3 to Regulation 112/2020),</w:t>
      </w:r>
    </w:p>
    <w:p w14:paraId="4D5CA9BA" w14:textId="4D29DECE" w:rsidR="00163969" w:rsidRPr="00D81901" w:rsidRDefault="00163969" w:rsidP="00163969">
      <w:pPr>
        <w:spacing w:after="0" w:line="360" w:lineRule="auto"/>
        <w:jc w:val="both"/>
        <w:rPr>
          <w:rFonts w:ascii="Calibri" w:eastAsia="Times New Roman" w:hAnsi="Calibri" w:cs="Calibri"/>
          <w:b/>
          <w:bCs/>
          <w:lang w:val="en-GB" w:eastAsia="pl-PL"/>
        </w:rPr>
      </w:pP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lastRenderedPageBreak/>
        <w:t xml:space="preserve">The settlement of trips after returning from a </w:t>
      </w:r>
      <w:r w:rsidR="00B04069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domestic trip</w:t>
      </w: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 is </w:t>
      </w:r>
      <w:r w:rsidR="00D81901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managed</w:t>
      </w: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 </w:t>
      </w:r>
      <w:r w:rsidRPr="00D81901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pl-PL"/>
        </w:rPr>
        <w:t xml:space="preserve">by </w:t>
      </w:r>
      <w:r w:rsidRPr="00D819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pl-PL"/>
        </w:rPr>
        <w:t xml:space="preserve">the Office of the Doctoral School </w:t>
      </w:r>
      <w:r w:rsidR="00B04069" w:rsidRPr="00D819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pl-PL"/>
        </w:rPr>
        <w:t>–</w:t>
      </w:r>
      <w:r w:rsidRPr="00D819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pl-PL"/>
        </w:rPr>
        <w:t xml:space="preserve"> </w:t>
      </w:r>
      <w:r w:rsidR="00B04069" w:rsidRPr="00D819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pl-PL"/>
        </w:rPr>
        <w:t xml:space="preserve">mgr </w:t>
      </w:r>
      <w:r w:rsidRPr="00D819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pl-PL"/>
        </w:rPr>
        <w:t>Irena Baranowska, ul. Mickiewicza 18, room 5; ground floor</w:t>
      </w:r>
    </w:p>
    <w:p w14:paraId="44AA9C97" w14:textId="5B7D1871" w:rsidR="00163969" w:rsidRPr="00D81901" w:rsidRDefault="00163969" w:rsidP="00FB3248">
      <w:pPr>
        <w:spacing w:after="0" w:line="360" w:lineRule="auto"/>
        <w:jc w:val="both"/>
        <w:rPr>
          <w:rFonts w:ascii="Calibri" w:eastAsia="Times New Roman" w:hAnsi="Calibri" w:cs="Calibri"/>
          <w:lang w:val="en-GB" w:eastAsia="pl-PL"/>
        </w:rPr>
      </w:pPr>
    </w:p>
    <w:p w14:paraId="5B3C0A30" w14:textId="1B809FEC" w:rsidR="00295325" w:rsidRPr="00D81901" w:rsidRDefault="00295325" w:rsidP="00FB32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</w:pPr>
      <w:r w:rsidRPr="00D81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GB" w:eastAsia="pl-PL"/>
        </w:rPr>
        <w:t xml:space="preserve">In the case of a </w:t>
      </w:r>
      <w:r w:rsidR="00B04069" w:rsidRPr="00D81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GB" w:eastAsia="pl-PL"/>
        </w:rPr>
        <w:t xml:space="preserve">foreign </w:t>
      </w:r>
      <w:r w:rsidRPr="00D81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GB" w:eastAsia="pl-PL"/>
        </w:rPr>
        <w:t>trip,</w:t>
      </w:r>
      <w:r w:rsidRPr="00D81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n-GB" w:eastAsia="pl-PL"/>
        </w:rPr>
        <w:t xml:space="preserve"> </w:t>
      </w: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the </w:t>
      </w:r>
      <w:r w:rsidR="00B04069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agreement</w:t>
      </w: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 (Annex No. 1 to Regulation 112/2020) must be accompanied by a completed travel application (Annex No. 2 to Regulation 112/2020).</w:t>
      </w:r>
    </w:p>
    <w:p w14:paraId="26422088" w14:textId="2843D867" w:rsidR="00FB3248" w:rsidRPr="00D81901" w:rsidRDefault="00FB3248" w:rsidP="00FB3248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B0F0"/>
          <w:lang w:val="en-GB" w:eastAsia="pl-PL"/>
        </w:rPr>
      </w:pPr>
      <w:r w:rsidRPr="00D81901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en-GB" w:eastAsia="pl-PL"/>
        </w:rPr>
        <w:t xml:space="preserve">Matters related to trips should be settled in advance 14 days before the planned departure. The procedure of collecting, </w:t>
      </w:r>
      <w:r w:rsidR="00B04069" w:rsidRPr="00D81901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en-GB" w:eastAsia="pl-PL"/>
        </w:rPr>
        <w:t>preparing,</w:t>
      </w:r>
      <w:r w:rsidRPr="00D81901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val="en-GB" w:eastAsia="pl-PL"/>
        </w:rPr>
        <w:t xml:space="preserve"> and signing documents takes some time and usually lasts several days.</w:t>
      </w:r>
    </w:p>
    <w:p w14:paraId="2CC221CE" w14:textId="2FD99E6A" w:rsidR="00FB3248" w:rsidRPr="00D81901" w:rsidRDefault="00760A0D" w:rsidP="00FB3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en-GB" w:eastAsia="pl-PL"/>
        </w:rPr>
      </w:pPr>
      <w:r w:rsidRPr="00D81901">
        <w:rPr>
          <w:rFonts w:ascii="Times New Roman" w:hAnsi="Times New Roman" w:cs="Times New Roman"/>
          <w:sz w:val="28"/>
          <w:szCs w:val="28"/>
          <w:lang w:val="en-GB" w:eastAsia="pl-PL"/>
        </w:rPr>
        <w:t xml:space="preserve">Foreign </w:t>
      </w:r>
      <w:r w:rsidR="00B04069" w:rsidRPr="00D81901">
        <w:rPr>
          <w:rFonts w:ascii="Times New Roman" w:hAnsi="Times New Roman" w:cs="Times New Roman"/>
          <w:sz w:val="28"/>
          <w:szCs w:val="28"/>
          <w:lang w:val="en-GB" w:eastAsia="pl-PL"/>
        </w:rPr>
        <w:t>trips</w:t>
      </w:r>
      <w:r w:rsidRPr="00D81901">
        <w:rPr>
          <w:rFonts w:ascii="Times New Roman" w:hAnsi="Times New Roman" w:cs="Times New Roman"/>
          <w:sz w:val="28"/>
          <w:szCs w:val="28"/>
          <w:lang w:val="en-GB" w:eastAsia="pl-PL"/>
        </w:rPr>
        <w:t xml:space="preserve"> are issued and settled in </w:t>
      </w:r>
      <w:r w:rsidRPr="00D81901">
        <w:rPr>
          <w:rFonts w:ascii="Times New Roman" w:hAnsi="Times New Roman" w:cs="Times New Roman"/>
          <w:b/>
          <w:bCs/>
          <w:sz w:val="28"/>
          <w:szCs w:val="28"/>
          <w:lang w:val="en-GB" w:eastAsia="pl-PL"/>
        </w:rPr>
        <w:t xml:space="preserve">the </w:t>
      </w:r>
      <w:r w:rsidR="00B04069" w:rsidRPr="00D81901">
        <w:rPr>
          <w:rFonts w:ascii="Times New Roman" w:hAnsi="Times New Roman" w:cs="Times New Roman"/>
          <w:b/>
          <w:bCs/>
          <w:sz w:val="28"/>
          <w:szCs w:val="28"/>
          <w:lang w:val="en-GB" w:eastAsia="pl-PL"/>
        </w:rPr>
        <w:t xml:space="preserve">International Relations Department </w:t>
      </w:r>
      <w:r w:rsidR="008C7472" w:rsidRPr="00D81901">
        <w:rPr>
          <w:color w:val="1F3864" w:themeColor="accent1" w:themeShade="80"/>
          <w:sz w:val="28"/>
          <w:szCs w:val="28"/>
          <w:u w:val="single"/>
          <w:lang w:val="en-GB"/>
        </w:rPr>
        <w:t>https://dsm.usz.edu.pl/</w:t>
      </w:r>
    </w:p>
    <w:p w14:paraId="5A425E21" w14:textId="77033F4B" w:rsidR="005114B9" w:rsidRPr="00D81901" w:rsidRDefault="00B04069" w:rsidP="00FB3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 w:eastAsia="pl-PL"/>
        </w:rPr>
      </w:pPr>
      <w:r w:rsidRPr="00D81901">
        <w:rPr>
          <w:rFonts w:ascii="Times New Roman" w:hAnsi="Times New Roman" w:cs="Times New Roman"/>
          <w:sz w:val="28"/>
          <w:szCs w:val="28"/>
          <w:lang w:val="en-GB" w:eastAsia="pl-PL"/>
        </w:rPr>
        <w:t>Trip</w:t>
      </w:r>
      <w:r w:rsidR="005114B9" w:rsidRPr="00D81901">
        <w:rPr>
          <w:rFonts w:ascii="Times New Roman" w:hAnsi="Times New Roman" w:cs="Times New Roman"/>
          <w:sz w:val="28"/>
          <w:szCs w:val="28"/>
          <w:lang w:val="en-GB" w:eastAsia="pl-PL"/>
        </w:rPr>
        <w:t xml:space="preserve"> procedures applicable to all </w:t>
      </w:r>
      <w:r w:rsidRPr="00D81901">
        <w:rPr>
          <w:rFonts w:ascii="Times New Roman" w:hAnsi="Times New Roman" w:cs="Times New Roman"/>
          <w:sz w:val="28"/>
          <w:szCs w:val="28"/>
          <w:lang w:val="en-GB" w:eastAsia="pl-PL"/>
        </w:rPr>
        <w:t>US</w:t>
      </w:r>
      <w:r w:rsidR="005114B9" w:rsidRPr="00D81901">
        <w:rPr>
          <w:rFonts w:ascii="Times New Roman" w:hAnsi="Times New Roman" w:cs="Times New Roman"/>
          <w:sz w:val="28"/>
          <w:szCs w:val="28"/>
          <w:lang w:val="en-GB" w:eastAsia="pl-PL"/>
        </w:rPr>
        <w:t xml:space="preserve"> employees and non-employees are available at:</w:t>
      </w:r>
    </w:p>
    <w:p w14:paraId="2DAA6578" w14:textId="64E299D3" w:rsidR="005114B9" w:rsidRPr="00D81901" w:rsidRDefault="005114B9" w:rsidP="00FB3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 w:eastAsia="pl-PL"/>
        </w:rPr>
      </w:pPr>
      <w:hyperlink r:id="rId7" w:history="1">
        <w:r w:rsidRPr="00D81901">
          <w:rPr>
            <w:rStyle w:val="Hipercze"/>
            <w:rFonts w:ascii="Times New Roman" w:hAnsi="Times New Roman" w:cs="Times New Roman"/>
            <w:sz w:val="28"/>
            <w:szCs w:val="28"/>
            <w:lang w:val="en-GB" w:eastAsia="pl-PL"/>
          </w:rPr>
          <w:t>https://dsm.usz.edu.pl/sluzbowe-wyjazdy-zagraniczne/</w:t>
        </w:r>
      </w:hyperlink>
    </w:p>
    <w:p w14:paraId="64341FFF" w14:textId="77777777" w:rsidR="005114B9" w:rsidRPr="00D81901" w:rsidRDefault="005114B9" w:rsidP="00FB32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GB" w:eastAsia="pl-PL"/>
        </w:rPr>
      </w:pPr>
    </w:p>
    <w:p w14:paraId="5DB1877B" w14:textId="069C5358" w:rsidR="00FB3248" w:rsidRPr="00D81901" w:rsidRDefault="00760A0D" w:rsidP="00FB3248">
      <w:pPr>
        <w:spacing w:after="0" w:line="360" w:lineRule="auto"/>
        <w:jc w:val="both"/>
        <w:rPr>
          <w:rFonts w:ascii="Calibri" w:eastAsia="Times New Roman" w:hAnsi="Calibri" w:cs="Calibri"/>
          <w:lang w:val="en-GB" w:eastAsia="pl-PL"/>
        </w:rPr>
      </w:pPr>
      <w:r w:rsidRPr="00D81901">
        <w:rPr>
          <w:rFonts w:ascii="Times New Roman" w:hAnsi="Times New Roman" w:cs="Times New Roman"/>
          <w:sz w:val="28"/>
          <w:szCs w:val="28"/>
          <w:lang w:val="en-GB" w:eastAsia="pl-PL"/>
        </w:rPr>
        <w:t xml:space="preserve"> </w:t>
      </w:r>
      <w:r w:rsidR="00FB3248" w:rsidRPr="00D81901"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pl-PL"/>
        </w:rPr>
        <w:t xml:space="preserve">- in the case of a </w:t>
      </w:r>
      <w:r w:rsidR="00CB0C55" w:rsidRPr="00D81901"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pl-PL"/>
        </w:rPr>
        <w:t xml:space="preserve">foreign </w:t>
      </w:r>
      <w:r w:rsidR="00FB3248" w:rsidRPr="00D81901"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pl-PL"/>
        </w:rPr>
        <w:t xml:space="preserve">trip, the settlement is accompanied </w:t>
      </w:r>
      <w:proofErr w:type="gramStart"/>
      <w:r w:rsidR="00FB3248" w:rsidRPr="00D81901"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pl-PL"/>
        </w:rPr>
        <w:t>by</w:t>
      </w:r>
      <w:r w:rsidR="00FB3248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:</w:t>
      </w:r>
      <w:proofErr w:type="gramEnd"/>
      <w:r w:rsidR="00FB3248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 </w:t>
      </w:r>
      <w:r w:rsidR="00CB0C55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public transport tickets</w:t>
      </w:r>
      <w:r w:rsidR="00FB3248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, railway, flight, bus and minibus tickets, </w:t>
      </w:r>
      <w:r w:rsidR="00CB0C55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invoice for accommodation</w:t>
      </w:r>
      <w:r w:rsidR="00FB3248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, food declaration (Annex No. 3 to Regulation 112/2020),</w:t>
      </w:r>
    </w:p>
    <w:p w14:paraId="2C591E9A" w14:textId="77777777" w:rsidR="005114B9" w:rsidRPr="00D81901" w:rsidRDefault="005114B9" w:rsidP="00FB32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</w:pPr>
    </w:p>
    <w:p w14:paraId="0430D0B6" w14:textId="4B48984D" w:rsidR="005114B9" w:rsidRPr="00D81901" w:rsidRDefault="005114B9" w:rsidP="00FB324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pl-PL"/>
        </w:rPr>
      </w:pPr>
      <w:r w:rsidRPr="00D81901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pl-PL"/>
        </w:rPr>
        <w:t>Settlement of travel costs must be made within 14 days from the date of its completion.</w:t>
      </w:r>
    </w:p>
    <w:p w14:paraId="6B5A1FB3" w14:textId="77777777" w:rsidR="005114B9" w:rsidRPr="00D81901" w:rsidRDefault="005114B9" w:rsidP="00FB3248">
      <w:pPr>
        <w:spacing w:after="0" w:line="360" w:lineRule="auto"/>
        <w:jc w:val="both"/>
        <w:rPr>
          <w:rFonts w:ascii="Calibri" w:eastAsia="Times New Roman" w:hAnsi="Calibri" w:cs="Calibri"/>
          <w:lang w:val="en-GB" w:eastAsia="pl-PL"/>
        </w:rPr>
      </w:pPr>
    </w:p>
    <w:p w14:paraId="1049AF03" w14:textId="0EFD72B6" w:rsidR="0022323D" w:rsidRPr="00D81901" w:rsidRDefault="0022323D" w:rsidP="00FB324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en-GB" w:eastAsia="pl-PL"/>
        </w:rPr>
      </w:pPr>
      <w:r w:rsidRPr="00D81901">
        <w:rPr>
          <w:rFonts w:ascii="Times New Roman" w:hAnsi="Times New Roman" w:cs="Times New Roman"/>
          <w:sz w:val="28"/>
          <w:szCs w:val="28"/>
          <w:lang w:val="en-GB" w:eastAsia="pl-PL"/>
        </w:rPr>
        <w:t xml:space="preserve">The description of the </w:t>
      </w:r>
      <w:r w:rsidR="00CB0C55" w:rsidRPr="00D81901">
        <w:rPr>
          <w:rFonts w:ascii="Times New Roman" w:hAnsi="Times New Roman" w:cs="Times New Roman"/>
          <w:sz w:val="28"/>
          <w:szCs w:val="28"/>
          <w:lang w:val="en-GB" w:eastAsia="pl-PL"/>
        </w:rPr>
        <w:t>trip</w:t>
      </w:r>
      <w:r w:rsidRPr="00D81901">
        <w:rPr>
          <w:rFonts w:ascii="Times New Roman" w:hAnsi="Times New Roman" w:cs="Times New Roman"/>
          <w:sz w:val="28"/>
          <w:szCs w:val="28"/>
          <w:lang w:val="en-GB" w:eastAsia="pl-PL"/>
        </w:rPr>
        <w:t xml:space="preserve"> must indicate the connection between the purpose of the trip and the cost estimate and schedule of the grant.</w:t>
      </w:r>
    </w:p>
    <w:p w14:paraId="537CDE30" w14:textId="2F8894E6" w:rsidR="00295325" w:rsidRPr="00D81901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val="en-GB" w:eastAsia="pl-PL"/>
        </w:rPr>
      </w:pPr>
    </w:p>
    <w:p w14:paraId="46B21C6F" w14:textId="6B64CF34" w:rsidR="00760A0D" w:rsidRPr="00D81901" w:rsidRDefault="00760A0D" w:rsidP="00FB3248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val="en-GB" w:eastAsia="pl-PL"/>
        </w:rPr>
      </w:pPr>
      <w:r w:rsidRPr="00D81901">
        <w:rPr>
          <w:rFonts w:ascii="Times New Roman" w:hAnsi="Times New Roman" w:cs="Times New Roman"/>
          <w:b/>
          <w:bCs/>
          <w:sz w:val="28"/>
          <w:szCs w:val="28"/>
          <w:lang w:val="en-GB" w:eastAsia="pl-PL"/>
        </w:rPr>
        <w:t xml:space="preserve">IMPORTANT! Obtaining an advance payment for travel is possible </w:t>
      </w:r>
      <w:r w:rsidR="00CB0C55" w:rsidRPr="00D81901">
        <w:rPr>
          <w:rFonts w:ascii="Times New Roman" w:hAnsi="Times New Roman" w:cs="Times New Roman"/>
          <w:b/>
          <w:bCs/>
          <w:sz w:val="28"/>
          <w:szCs w:val="28"/>
          <w:lang w:val="en-GB" w:eastAsia="pl-PL"/>
        </w:rPr>
        <w:t xml:space="preserve">only </w:t>
      </w:r>
      <w:r w:rsidRPr="00D81901">
        <w:rPr>
          <w:rFonts w:ascii="Times New Roman" w:hAnsi="Times New Roman" w:cs="Times New Roman"/>
          <w:b/>
          <w:bCs/>
          <w:sz w:val="28"/>
          <w:szCs w:val="28"/>
          <w:lang w:val="en-GB" w:eastAsia="pl-PL"/>
        </w:rPr>
        <w:t>on the BUSINESS TRIP ORDER form.</w:t>
      </w:r>
    </w:p>
    <w:p w14:paraId="7864ABBB" w14:textId="39F9AFCE" w:rsidR="00295325" w:rsidRPr="00D81901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val="en-GB" w:eastAsia="pl-PL"/>
        </w:rPr>
      </w:pPr>
    </w:p>
    <w:p w14:paraId="491D0C09" w14:textId="37BC9043" w:rsidR="00295325" w:rsidRPr="00D81901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val="en-GB" w:eastAsia="pl-PL"/>
        </w:rPr>
      </w:pP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The link includes the Order of the Rector of the US, which contains details regarding trips</w:t>
      </w:r>
    </w:p>
    <w:p w14:paraId="7A638CB5" w14:textId="77777777" w:rsidR="00295325" w:rsidRPr="00D81901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val="en-GB" w:eastAsia="pl-PL"/>
        </w:rPr>
      </w:pPr>
      <w:hyperlink r:id="rId8" w:tgtFrame="_blank" w:history="1">
        <w:r w:rsidRPr="00D8190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GB" w:eastAsia="pl-PL"/>
          </w:rPr>
          <w:t>https://dsm.usz.edu.pl/wp-content/uploads/Zarz%C4%85zenie-112.2020-Rektora-US.pdf</w:t>
        </w:r>
      </w:hyperlink>
    </w:p>
    <w:p w14:paraId="5819FAFB" w14:textId="18BAC65B" w:rsidR="00295325" w:rsidRPr="00D81901" w:rsidRDefault="00295325" w:rsidP="00FB32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</w:pP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and a list of foreign </w:t>
      </w:r>
      <w:r w:rsidR="00CB0C55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allowances</w:t>
      </w:r>
    </w:p>
    <w:p w14:paraId="5EE057E1" w14:textId="5F7E1230" w:rsidR="005114B9" w:rsidRPr="00D81901" w:rsidRDefault="009922EB" w:rsidP="00FB3248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70C0"/>
          <w:u w:val="single"/>
          <w:lang w:val="en-GB" w:eastAsia="pl-PL"/>
        </w:rPr>
      </w:pPr>
      <w:hyperlink r:id="rId9" w:history="1">
        <w:r w:rsidRPr="00D81901">
          <w:rPr>
            <w:rStyle w:val="Hipercze"/>
            <w:rFonts w:ascii="Calibri" w:eastAsia="Times New Roman" w:hAnsi="Calibri" w:cs="Calibri"/>
            <w:b/>
            <w:bCs/>
            <w:lang w:val="en-GB" w:eastAsia="pl-PL"/>
          </w:rPr>
          <w:t>https://dsm.usz.edu.pl/wp-content/uploads/Rozporz%C4%85zenie-Ministra-Rodziny-i-Polityki-Spo%C5%82ecznej-NOWE-STAWKI-DIET-ZAGRANICZNYCH.pdf</w:t>
        </w:r>
      </w:hyperlink>
    </w:p>
    <w:p w14:paraId="61D003D8" w14:textId="77777777" w:rsidR="009922EB" w:rsidRPr="00D81901" w:rsidRDefault="009922EB" w:rsidP="00FB3248">
      <w:pPr>
        <w:spacing w:after="0" w:line="360" w:lineRule="auto"/>
        <w:jc w:val="both"/>
        <w:rPr>
          <w:rFonts w:ascii="Calibri" w:eastAsia="Times New Roman" w:hAnsi="Calibri" w:cs="Calibri"/>
          <w:lang w:val="en-GB" w:eastAsia="pl-PL"/>
        </w:rPr>
      </w:pPr>
    </w:p>
    <w:p w14:paraId="237E0512" w14:textId="24E5F8E1" w:rsidR="00295325" w:rsidRPr="00D81901" w:rsidRDefault="00295325" w:rsidP="0028300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eastAsia="Times New Roman" w:hAnsi="Calibri" w:cs="Calibri"/>
          <w:lang w:val="en-GB" w:eastAsia="pl-PL"/>
        </w:rPr>
      </w:pPr>
      <w:r w:rsidRPr="00D81901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pl-PL"/>
        </w:rPr>
        <w:t>use of financial resources (grants) in accordance with the catalog</w:t>
      </w:r>
      <w:r w:rsidR="00CB0C55" w:rsidRPr="00D81901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pl-PL"/>
        </w:rPr>
        <w:t>ue</w:t>
      </w:r>
      <w:r w:rsidRPr="00D81901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pl-PL"/>
        </w:rPr>
        <w:t xml:space="preserve"> of </w:t>
      </w:r>
      <w:r w:rsidR="00CB0C55" w:rsidRPr="00D81901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pl-PL"/>
        </w:rPr>
        <w:t>expenditures</w:t>
      </w:r>
      <w:r w:rsidRPr="00D81901"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pl-PL"/>
        </w:rPr>
        <w:t xml:space="preserve"> </w:t>
      </w:r>
      <w:r w:rsidR="0010741B" w:rsidRPr="00D8190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  <w:t>(A</w:t>
      </w:r>
      <w:r w:rsidR="00CB0C55" w:rsidRPr="00D8190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  <w:t>nnex</w:t>
      </w:r>
      <w:r w:rsidR="0010741B" w:rsidRPr="00D8190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  <w:t xml:space="preserve"> No. 4 to Ord</w:t>
      </w:r>
      <w:r w:rsidR="00CB0C55" w:rsidRPr="00D8190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  <w:t>er</w:t>
      </w:r>
      <w:r w:rsidR="0010741B" w:rsidRPr="00D8190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  <w:t xml:space="preserve"> No. </w:t>
      </w:r>
      <w:r w:rsidR="00B0199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  <w:t>40</w:t>
      </w:r>
      <w:r w:rsidR="0010741B" w:rsidRPr="00D8190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  <w:t>/202</w:t>
      </w:r>
      <w:r w:rsidR="00B0199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  <w:t>5</w:t>
      </w:r>
      <w:r w:rsidR="0010741B" w:rsidRPr="00D8190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pl-PL"/>
        </w:rPr>
        <w:t>)</w:t>
      </w: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 </w:t>
      </w:r>
    </w:p>
    <w:p w14:paraId="34953F8F" w14:textId="7282315B" w:rsidR="00295325" w:rsidRPr="00D81901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val="en-GB" w:eastAsia="pl-PL"/>
        </w:rPr>
      </w:pP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When making purchases in accordance with the </w:t>
      </w:r>
      <w:r w:rsidR="00CB0C55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catalogue of expenditures</w:t>
      </w: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, </w:t>
      </w:r>
      <w:r w:rsidR="00CB0C55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it is necessary to </w:t>
      </w: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request an </w:t>
      </w:r>
      <w:r w:rsidR="00CB0C55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invoice with deferred payment date </w:t>
      </w: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of at least 14 days.</w:t>
      </w:r>
    </w:p>
    <w:p w14:paraId="5CB41761" w14:textId="77777777" w:rsidR="00295325" w:rsidRPr="00D81901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val="en-GB" w:eastAsia="pl-PL"/>
        </w:rPr>
      </w:pP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 </w:t>
      </w:r>
    </w:p>
    <w:p w14:paraId="03F1DA8E" w14:textId="77777777" w:rsidR="00295325" w:rsidRPr="00D81901" w:rsidRDefault="00295325" w:rsidP="00FB3248">
      <w:pPr>
        <w:spacing w:after="0" w:line="360" w:lineRule="auto"/>
        <w:rPr>
          <w:rFonts w:ascii="Calibri" w:eastAsia="Times New Roman" w:hAnsi="Calibri" w:cs="Calibri"/>
          <w:b/>
          <w:bCs/>
          <w:lang w:val="en-GB" w:eastAsia="pl-PL"/>
        </w:rPr>
      </w:pPr>
      <w:r w:rsidRPr="00D81901"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pl-PL"/>
        </w:rPr>
        <w:t xml:space="preserve">The invoice address should be: </w:t>
      </w:r>
      <w:r w:rsidRPr="00D81901"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pl-PL"/>
        </w:rPr>
        <w:br/>
      </w:r>
      <w:r w:rsidRPr="00D81901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pl-PL"/>
        </w:rPr>
        <w:t>University of Szczecin</w:t>
      </w:r>
    </w:p>
    <w:p w14:paraId="705A25CA" w14:textId="3A0DC75E" w:rsidR="00295325" w:rsidRPr="00B01996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b/>
          <w:bCs/>
          <w:lang w:val="pl-PL" w:eastAsia="pl-PL"/>
        </w:rPr>
      </w:pPr>
      <w:r w:rsidRPr="00B01996">
        <w:rPr>
          <w:rFonts w:ascii="Times New Roman" w:eastAsia="Times New Roman" w:hAnsi="Times New Roman" w:cs="Times New Roman"/>
          <w:b/>
          <w:bCs/>
          <w:sz w:val="28"/>
          <w:szCs w:val="28"/>
          <w:lang w:val="pl-PL" w:eastAsia="pl-PL"/>
        </w:rPr>
        <w:t xml:space="preserve">Al. </w:t>
      </w:r>
      <w:r w:rsidR="00B01996" w:rsidRPr="00B01996">
        <w:rPr>
          <w:rFonts w:ascii="Times New Roman" w:eastAsia="Times New Roman" w:hAnsi="Times New Roman" w:cs="Times New Roman"/>
          <w:b/>
          <w:bCs/>
          <w:sz w:val="28"/>
          <w:szCs w:val="28"/>
          <w:lang w:val="pl-PL" w:eastAsia="pl-PL"/>
        </w:rPr>
        <w:t>Papieża Jana Pawła</w:t>
      </w:r>
      <w:r w:rsidRPr="00B01996">
        <w:rPr>
          <w:rFonts w:ascii="Times New Roman" w:eastAsia="Times New Roman" w:hAnsi="Times New Roman" w:cs="Times New Roman"/>
          <w:b/>
          <w:bCs/>
          <w:sz w:val="28"/>
          <w:szCs w:val="28"/>
          <w:lang w:val="pl-PL" w:eastAsia="pl-PL"/>
        </w:rPr>
        <w:t xml:space="preserve"> II 22 a</w:t>
      </w:r>
    </w:p>
    <w:p w14:paraId="4D68BD07" w14:textId="77777777" w:rsidR="00295325" w:rsidRPr="00D81901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b/>
          <w:bCs/>
          <w:lang w:val="en-GB" w:eastAsia="pl-PL"/>
        </w:rPr>
      </w:pPr>
      <w:r w:rsidRPr="00D81901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pl-PL"/>
        </w:rPr>
        <w:t>70-453 Szczecin</w:t>
      </w:r>
    </w:p>
    <w:p w14:paraId="46289F1E" w14:textId="77777777" w:rsidR="00295325" w:rsidRPr="00D81901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b/>
          <w:bCs/>
          <w:lang w:val="en-GB" w:eastAsia="pl-PL"/>
        </w:rPr>
      </w:pPr>
      <w:r w:rsidRPr="00D81901">
        <w:rPr>
          <w:rFonts w:ascii="Times New Roman" w:eastAsia="Times New Roman" w:hAnsi="Times New Roman" w:cs="Times New Roman"/>
          <w:b/>
          <w:bCs/>
          <w:sz w:val="28"/>
          <w:szCs w:val="28"/>
          <w:lang w:val="en-GB" w:eastAsia="pl-PL"/>
        </w:rPr>
        <w:t>NIP 851-020-80-05</w:t>
      </w:r>
    </w:p>
    <w:p w14:paraId="1F6D191E" w14:textId="77777777" w:rsidR="00295325" w:rsidRPr="00D81901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val="en-GB" w:eastAsia="pl-PL"/>
        </w:rPr>
      </w:pP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 </w:t>
      </w:r>
    </w:p>
    <w:p w14:paraId="376957DC" w14:textId="1A5196BB" w:rsidR="00295325" w:rsidRPr="00D81901" w:rsidRDefault="00CB0C55" w:rsidP="00FB3248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FF0000"/>
          <w:lang w:val="en-GB" w:eastAsia="pl-PL"/>
        </w:rPr>
      </w:pPr>
      <w:r w:rsidRPr="00D819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GB" w:eastAsia="pl-PL"/>
        </w:rPr>
        <w:t>Never ask for</w:t>
      </w:r>
      <w:r w:rsidR="00295325" w:rsidRPr="00D819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GB" w:eastAsia="pl-PL"/>
        </w:rPr>
        <w:t xml:space="preserve"> an invoice </w:t>
      </w:r>
      <w:r w:rsidRPr="00D819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GB" w:eastAsia="pl-PL"/>
        </w:rPr>
        <w:t>for a name or</w:t>
      </w:r>
      <w:r w:rsidR="00295325" w:rsidRPr="00D819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GB" w:eastAsia="pl-PL"/>
        </w:rPr>
        <w:t xml:space="preserve"> the address of the US Doctoral School.</w:t>
      </w:r>
    </w:p>
    <w:p w14:paraId="5F5C6318" w14:textId="69952E47" w:rsidR="00295325" w:rsidRPr="00D81901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b/>
          <w:bCs/>
          <w:i/>
          <w:iCs/>
          <w:lang w:val="en-GB" w:eastAsia="pl-PL"/>
        </w:rPr>
      </w:pPr>
      <w:r w:rsidRPr="00D81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GB" w:eastAsia="pl-PL"/>
        </w:rPr>
        <w:t xml:space="preserve">The </w:t>
      </w:r>
      <w:r w:rsidR="00CB0C55" w:rsidRPr="00D81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GB" w:eastAsia="pl-PL"/>
        </w:rPr>
        <w:t>U</w:t>
      </w:r>
      <w:r w:rsidRPr="00D81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GB" w:eastAsia="pl-PL"/>
        </w:rPr>
        <w:t xml:space="preserve">niversity is the </w:t>
      </w:r>
      <w:r w:rsidR="00D81901" w:rsidRPr="00D81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GB" w:eastAsia="pl-PL"/>
        </w:rPr>
        <w:t>payer,</w:t>
      </w:r>
      <w:r w:rsidRPr="00D8190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en-GB" w:eastAsia="pl-PL"/>
        </w:rPr>
        <w:t xml:space="preserve"> and the invoice will only be settled if the correct address is provided.</w:t>
      </w:r>
    </w:p>
    <w:p w14:paraId="76527731" w14:textId="77777777" w:rsidR="00295325" w:rsidRPr="00D81901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val="en-GB" w:eastAsia="pl-PL"/>
        </w:rPr>
      </w:pP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 </w:t>
      </w:r>
    </w:p>
    <w:p w14:paraId="54B38D15" w14:textId="51E999B9" w:rsidR="00295325" w:rsidRPr="00D81901" w:rsidRDefault="00295325" w:rsidP="00FB3248">
      <w:pPr>
        <w:spacing w:after="0" w:line="360" w:lineRule="auto"/>
        <w:jc w:val="both"/>
        <w:rPr>
          <w:rFonts w:ascii="Calibri" w:eastAsia="Times New Roman" w:hAnsi="Calibri" w:cs="Calibri"/>
          <w:lang w:val="en-GB" w:eastAsia="pl-PL"/>
        </w:rPr>
      </w:pP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An invoice with a cash payment provision is accepted if a person running a business would like to receive payment immediately.</w:t>
      </w:r>
    </w:p>
    <w:p w14:paraId="07384941" w14:textId="7BD759BF" w:rsidR="00295325" w:rsidRPr="00D81901" w:rsidRDefault="00CB0C55" w:rsidP="00FB3248">
      <w:pPr>
        <w:spacing w:after="0" w:line="360" w:lineRule="auto"/>
        <w:jc w:val="both"/>
        <w:rPr>
          <w:rFonts w:ascii="Calibri" w:eastAsia="Times New Roman" w:hAnsi="Calibri" w:cs="Calibri"/>
          <w:lang w:val="en-GB" w:eastAsia="pl-PL"/>
        </w:rPr>
      </w:pPr>
      <w:r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lastRenderedPageBreak/>
        <w:t>In such a situation, it is necessary to</w:t>
      </w:r>
      <w:r w:rsidR="00295325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 xml:space="preserve"> pay for this service in cash, by bank card or by bank transfer from your bank account. In case of payment by transfer from your bank account, please attach </w:t>
      </w:r>
      <w:r w:rsidR="00295325" w:rsidRPr="00D81901"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pl-PL"/>
        </w:rPr>
        <w:t>the transfer confirmation</w:t>
      </w:r>
      <w:r w:rsidR="00295325" w:rsidRPr="00D81901">
        <w:rPr>
          <w:rFonts w:ascii="Times New Roman" w:eastAsia="Times New Roman" w:hAnsi="Times New Roman" w:cs="Times New Roman"/>
          <w:sz w:val="28"/>
          <w:szCs w:val="28"/>
          <w:lang w:val="en-GB" w:eastAsia="pl-PL"/>
        </w:rPr>
        <w:t>.</w:t>
      </w:r>
    </w:p>
    <w:p w14:paraId="1BD07496" w14:textId="77777777" w:rsidR="0022323D" w:rsidRPr="00D81901" w:rsidRDefault="0022323D" w:rsidP="00D97D9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GB" w:eastAsia="pl-PL"/>
        </w:rPr>
      </w:pPr>
    </w:p>
    <w:p w14:paraId="4F05436A" w14:textId="2AB1C1AB" w:rsidR="00774617" w:rsidRPr="00D81901" w:rsidRDefault="00774617" w:rsidP="00D97D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pl-PL"/>
        </w:rPr>
      </w:pPr>
      <w:r w:rsidRPr="00D819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pl-PL"/>
        </w:rPr>
        <w:t xml:space="preserve">The described and signed INVOICE with confirmation of the transfer should be delivered in person or via the postal operator to the Office Point No. </w:t>
      </w:r>
      <w:r w:rsidR="00B0199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pl-PL"/>
        </w:rPr>
        <w:t>4</w:t>
      </w:r>
      <w:r w:rsidRPr="00D819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pl-PL"/>
        </w:rPr>
        <w:t>, ul. Tarczyńskiego 1.</w:t>
      </w:r>
    </w:p>
    <w:p w14:paraId="70301C76" w14:textId="77777777" w:rsidR="00774617" w:rsidRPr="00D81901" w:rsidRDefault="00774617" w:rsidP="00D97D9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pl-PL"/>
        </w:rPr>
      </w:pPr>
    </w:p>
    <w:p w14:paraId="3B07369B" w14:textId="1EC6B73F" w:rsidR="003E77DF" w:rsidRPr="00D81901" w:rsidRDefault="003E77DF" w:rsidP="00E844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GB" w:eastAsia="pl-PL"/>
        </w:rPr>
      </w:pPr>
    </w:p>
    <w:p w14:paraId="4870A4AF" w14:textId="3446531B" w:rsidR="003E77DF" w:rsidRPr="00D81901" w:rsidRDefault="003E77DF" w:rsidP="00774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en-GB" w:eastAsia="pl-PL"/>
        </w:rPr>
      </w:pPr>
      <w:r w:rsidRPr="00D819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en-GB" w:eastAsia="pl-PL"/>
        </w:rPr>
        <w:t xml:space="preserve">Please remember that </w:t>
      </w:r>
      <w:r w:rsidR="00D97D9E" w:rsidRPr="00D8190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en-GB" w:eastAsia="pl-PL"/>
        </w:rPr>
        <w:t>the Finance and Accounting Department adds VAT to invoices issued in a currency other than PLN, which may have a significant impact on the cost estimate and schedule of activities.</w:t>
      </w:r>
    </w:p>
    <w:p w14:paraId="56B962FC" w14:textId="12FBC1DE" w:rsidR="00627B7F" w:rsidRPr="00D81901" w:rsidRDefault="00627B7F" w:rsidP="00774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3" w:line="425" w:lineRule="auto"/>
        <w:ind w:left="-5" w:hanging="3"/>
        <w:jc w:val="both"/>
        <w:rPr>
          <w:rFonts w:ascii="Calibri" w:eastAsia="Calibri" w:hAnsi="Calibri" w:cs="Calibri"/>
          <w:b/>
          <w:bCs/>
          <w:color w:val="000000"/>
          <w:sz w:val="24"/>
          <w:szCs w:val="24"/>
          <w:lang w:val="en-GB" w:eastAsia="pl-PL"/>
        </w:rPr>
      </w:pPr>
      <w:r w:rsidRPr="00D81901">
        <w:rPr>
          <w:rFonts w:ascii="Calibri" w:eastAsia="Calibri" w:hAnsi="Calibri" w:cs="Calibri"/>
          <w:b/>
          <w:bCs/>
          <w:color w:val="000000"/>
          <w:sz w:val="24"/>
          <w:szCs w:val="24"/>
          <w:lang w:val="en-GB" w:eastAsia="pl-PL"/>
        </w:rPr>
        <w:t xml:space="preserve">Calculating VAT on foreign transactions </w:t>
      </w:r>
      <w:r w:rsidR="00C34721" w:rsidRPr="00D81901">
        <w:rPr>
          <w:rFonts w:ascii="Calibri" w:eastAsia="Calibri" w:hAnsi="Calibri" w:cs="Calibri"/>
          <w:b/>
          <w:bCs/>
          <w:color w:val="000000"/>
          <w:sz w:val="24"/>
          <w:szCs w:val="24"/>
          <w:lang w:val="en-GB" w:eastAsia="pl-PL"/>
        </w:rPr>
        <w:t>–</w:t>
      </w:r>
      <w:r w:rsidRPr="00D81901">
        <w:rPr>
          <w:rFonts w:ascii="Calibri" w:eastAsia="Calibri" w:hAnsi="Calibri" w:cs="Calibri"/>
          <w:b/>
          <w:bCs/>
          <w:color w:val="000000"/>
          <w:sz w:val="24"/>
          <w:szCs w:val="24"/>
          <w:lang w:val="en-GB" w:eastAsia="pl-PL"/>
        </w:rPr>
        <w:t xml:space="preserve"> legal basis, calculation</w:t>
      </w:r>
    </w:p>
    <w:p w14:paraId="11E2CC15" w14:textId="748CF85C" w:rsidR="00627B7F" w:rsidRPr="00D81901" w:rsidRDefault="00627B7F" w:rsidP="00774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3" w:line="425" w:lineRule="auto"/>
        <w:ind w:left="-5" w:hanging="3"/>
        <w:jc w:val="both"/>
        <w:rPr>
          <w:rFonts w:ascii="Calibri" w:eastAsia="Calibri" w:hAnsi="Calibri" w:cs="Calibri"/>
          <w:color w:val="000000"/>
          <w:lang w:val="en-GB" w:eastAsia="pl-PL"/>
        </w:rPr>
      </w:pPr>
      <w:r w:rsidRPr="00D81901">
        <w:rPr>
          <w:rFonts w:ascii="Calibri" w:eastAsia="Calibri" w:hAnsi="Calibri" w:cs="Calibri"/>
          <w:color w:val="000000"/>
          <w:lang w:val="en-GB" w:eastAsia="pl-PL"/>
        </w:rPr>
        <w:t>Based on Article 9</w:t>
      </w:r>
      <w:r w:rsidR="00E86E96" w:rsidRPr="00D81901">
        <w:rPr>
          <w:rFonts w:ascii="Calibri" w:eastAsia="Calibri" w:hAnsi="Calibri" w:cs="Calibri"/>
          <w:color w:val="000000"/>
          <w:lang w:val="en-GB" w:eastAsia="pl-PL"/>
        </w:rPr>
        <w:t>(</w:t>
      </w:r>
      <w:r w:rsidRPr="00D81901">
        <w:rPr>
          <w:rFonts w:ascii="Calibri" w:eastAsia="Calibri" w:hAnsi="Calibri" w:cs="Calibri"/>
          <w:color w:val="000000"/>
          <w:lang w:val="en-GB" w:eastAsia="pl-PL"/>
        </w:rPr>
        <w:t>1</w:t>
      </w:r>
      <w:r w:rsidR="00E86E96" w:rsidRPr="00D81901">
        <w:rPr>
          <w:rFonts w:ascii="Calibri" w:eastAsia="Calibri" w:hAnsi="Calibri" w:cs="Calibri"/>
          <w:color w:val="000000"/>
          <w:lang w:val="en-GB" w:eastAsia="pl-PL"/>
        </w:rPr>
        <w:t>)</w:t>
      </w:r>
      <w:r w:rsidRPr="00D81901">
        <w:rPr>
          <w:rFonts w:ascii="Calibri" w:eastAsia="Calibri" w:hAnsi="Calibri" w:cs="Calibri"/>
          <w:color w:val="000000"/>
          <w:lang w:val="en-GB" w:eastAsia="pl-PL"/>
        </w:rPr>
        <w:t xml:space="preserve"> of the Act, intra-Community acquisition of goods means the acquisition of the right to dispose as an owner of goods which, as a result of the delivery, are shipped or transported to the territory of a Member State other than the territory of the Member State of commencement of the shipment or transport by or on behalf of the person making the </w:t>
      </w:r>
      <w:r w:rsidR="00E86E96" w:rsidRPr="00D81901">
        <w:rPr>
          <w:rFonts w:ascii="Calibri" w:eastAsia="Calibri" w:hAnsi="Calibri" w:cs="Calibri"/>
          <w:color w:val="000000"/>
          <w:lang w:val="en-GB" w:eastAsia="pl-PL"/>
        </w:rPr>
        <w:t>delivery</w:t>
      </w:r>
      <w:r w:rsidRPr="00D81901">
        <w:rPr>
          <w:rFonts w:ascii="Calibri" w:eastAsia="Calibri" w:hAnsi="Calibri" w:cs="Calibri"/>
          <w:color w:val="000000"/>
          <w:lang w:val="en-GB" w:eastAsia="pl-PL"/>
        </w:rPr>
        <w:t xml:space="preserve"> or the purchaser of the goods.</w:t>
      </w:r>
    </w:p>
    <w:p w14:paraId="44BBEE96" w14:textId="77777777" w:rsidR="00627B7F" w:rsidRPr="00D81901" w:rsidRDefault="00627B7F" w:rsidP="00774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3" w:line="425" w:lineRule="auto"/>
        <w:ind w:left="-5" w:hanging="3"/>
        <w:jc w:val="both"/>
        <w:rPr>
          <w:rFonts w:ascii="Calibri" w:eastAsia="Calibri" w:hAnsi="Calibri" w:cs="Calibri"/>
          <w:color w:val="000000"/>
          <w:lang w:val="en-GB" w:eastAsia="pl-PL"/>
        </w:rPr>
      </w:pPr>
    </w:p>
    <w:p w14:paraId="78BCC9BB" w14:textId="214F9C30" w:rsidR="00627B7F" w:rsidRPr="00D81901" w:rsidRDefault="00627B7F" w:rsidP="00774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3" w:line="425" w:lineRule="auto"/>
        <w:ind w:left="-5" w:hanging="3"/>
        <w:jc w:val="both"/>
        <w:rPr>
          <w:rFonts w:ascii="Calibri" w:eastAsia="Calibri" w:hAnsi="Calibri" w:cs="Calibri"/>
          <w:b/>
          <w:bCs/>
          <w:color w:val="000000"/>
          <w:lang w:val="en-GB" w:eastAsia="pl-PL"/>
        </w:rPr>
      </w:pPr>
      <w:r w:rsidRPr="00D81901">
        <w:rPr>
          <w:rFonts w:ascii="Calibri" w:eastAsia="Calibri" w:hAnsi="Calibri" w:cs="Calibri"/>
          <w:b/>
          <w:bCs/>
          <w:color w:val="000000"/>
          <w:lang w:val="en-GB" w:eastAsia="pl-PL"/>
        </w:rPr>
        <w:t xml:space="preserve">In the case of intra-Community acquisition of goods and services, the act of acquiring goods or services is subject to taxation. </w:t>
      </w:r>
      <w:r w:rsidR="004F64BF" w:rsidRPr="00D81901">
        <w:rPr>
          <w:rFonts w:ascii="Calibri" w:eastAsia="Calibri" w:hAnsi="Calibri" w:cs="Calibri"/>
          <w:b/>
          <w:bCs/>
          <w:color w:val="000000"/>
          <w:lang w:val="en-GB" w:eastAsia="pl-PL"/>
        </w:rPr>
        <w:t>Due</w:t>
      </w:r>
      <w:r w:rsidRPr="00D81901">
        <w:rPr>
          <w:rFonts w:ascii="Calibri" w:eastAsia="Calibri" w:hAnsi="Calibri" w:cs="Calibri"/>
          <w:b/>
          <w:bCs/>
          <w:color w:val="000000"/>
          <w:lang w:val="en-GB" w:eastAsia="pl-PL"/>
        </w:rPr>
        <w:t xml:space="preserve"> tax is settled by the purchaser of goods and services in the country to which the goods are delivered.</w:t>
      </w:r>
    </w:p>
    <w:p w14:paraId="2FA7DBA3" w14:textId="4401B6EE" w:rsidR="00627B7F" w:rsidRPr="00D81901" w:rsidRDefault="00627B7F" w:rsidP="00774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53" w:line="425" w:lineRule="auto"/>
        <w:ind w:left="-8"/>
        <w:jc w:val="both"/>
        <w:rPr>
          <w:rFonts w:ascii="Calibri" w:eastAsia="Calibri" w:hAnsi="Calibri" w:cs="Calibri"/>
          <w:color w:val="000000"/>
          <w:lang w:val="en-GB" w:eastAsia="pl-PL"/>
        </w:rPr>
      </w:pPr>
      <w:r w:rsidRPr="00D81901">
        <w:rPr>
          <w:rFonts w:ascii="Calibri" w:eastAsia="Calibri" w:hAnsi="Calibri" w:cs="Calibri"/>
          <w:color w:val="000000"/>
          <w:lang w:val="en-GB" w:eastAsia="pl-PL"/>
        </w:rPr>
        <w:t>Pursuant to Art</w:t>
      </w:r>
      <w:r w:rsidR="004F64BF" w:rsidRPr="00D81901">
        <w:rPr>
          <w:rFonts w:ascii="Calibri" w:eastAsia="Calibri" w:hAnsi="Calibri" w:cs="Calibri"/>
          <w:color w:val="000000"/>
          <w:lang w:val="en-GB" w:eastAsia="pl-PL"/>
        </w:rPr>
        <w:t>icle</w:t>
      </w:r>
      <w:r w:rsidRPr="00D81901">
        <w:rPr>
          <w:rFonts w:ascii="Calibri" w:eastAsia="Calibri" w:hAnsi="Calibri" w:cs="Calibri"/>
          <w:color w:val="000000"/>
          <w:lang w:val="en-GB" w:eastAsia="pl-PL"/>
        </w:rPr>
        <w:t xml:space="preserve"> 31</w:t>
      </w:r>
      <w:proofErr w:type="gramStart"/>
      <w:r w:rsidRPr="00D81901">
        <w:rPr>
          <w:rFonts w:ascii="Calibri" w:eastAsia="Calibri" w:hAnsi="Calibri" w:cs="Calibri"/>
          <w:color w:val="000000"/>
          <w:lang w:val="en-GB" w:eastAsia="pl-PL"/>
        </w:rPr>
        <w:t>a</w:t>
      </w:r>
      <w:r w:rsidR="004F64BF" w:rsidRPr="00D81901">
        <w:rPr>
          <w:rFonts w:ascii="Calibri" w:eastAsia="Calibri" w:hAnsi="Calibri" w:cs="Calibri"/>
          <w:color w:val="000000"/>
          <w:lang w:val="en-GB" w:eastAsia="pl-PL"/>
        </w:rPr>
        <w:t>(</w:t>
      </w:r>
      <w:proofErr w:type="gramEnd"/>
      <w:r w:rsidRPr="00D81901">
        <w:rPr>
          <w:rFonts w:ascii="Calibri" w:eastAsia="Calibri" w:hAnsi="Calibri" w:cs="Calibri"/>
          <w:color w:val="000000"/>
          <w:lang w:val="en-GB" w:eastAsia="pl-PL"/>
        </w:rPr>
        <w:t>1-4</w:t>
      </w:r>
      <w:r w:rsidR="004F64BF" w:rsidRPr="00D81901">
        <w:rPr>
          <w:rFonts w:ascii="Calibri" w:eastAsia="Calibri" w:hAnsi="Calibri" w:cs="Calibri"/>
          <w:color w:val="000000"/>
          <w:lang w:val="en-GB" w:eastAsia="pl-PL"/>
        </w:rPr>
        <w:t>)</w:t>
      </w:r>
      <w:r w:rsidRPr="00D81901">
        <w:rPr>
          <w:rFonts w:ascii="Calibri" w:eastAsia="Calibri" w:hAnsi="Calibri" w:cs="Calibri"/>
          <w:color w:val="000000"/>
          <w:lang w:val="en-GB" w:eastAsia="pl-PL"/>
        </w:rPr>
        <w:t xml:space="preserve"> of the Goods and Services Tax Act, if the taxable amount is expressed in a foreign currency, it must be converted into PLN using the average exchange rate announced by the National Bank of Poland </w:t>
      </w:r>
      <w:r w:rsidR="004F64BF" w:rsidRPr="00D81901">
        <w:rPr>
          <w:rFonts w:ascii="Calibri" w:eastAsia="Calibri" w:hAnsi="Calibri" w:cs="Calibri"/>
          <w:color w:val="000000"/>
          <w:lang w:val="en-GB" w:eastAsia="pl-PL"/>
        </w:rPr>
        <w:t>–</w:t>
      </w:r>
      <w:r w:rsidRPr="00D81901">
        <w:rPr>
          <w:rFonts w:ascii="Calibri" w:eastAsia="Calibri" w:hAnsi="Calibri" w:cs="Calibri"/>
          <w:color w:val="000000"/>
          <w:lang w:val="en-GB" w:eastAsia="pl-PL"/>
        </w:rPr>
        <w:t xml:space="preserve"> </w:t>
      </w:r>
      <w:r w:rsidR="004F64BF" w:rsidRPr="00D81901">
        <w:rPr>
          <w:rFonts w:ascii="Calibri" w:eastAsia="Calibri" w:hAnsi="Calibri" w:cs="Calibri"/>
          <w:color w:val="000000"/>
          <w:lang w:val="en-GB" w:eastAsia="pl-PL"/>
        </w:rPr>
        <w:t>on the last business day preceding the date on which the tax obligation arises.</w:t>
      </w:r>
    </w:p>
    <w:p w14:paraId="55A1D574" w14:textId="662AA894" w:rsidR="00627B7F" w:rsidRPr="00D81901" w:rsidRDefault="00627B7F" w:rsidP="007746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7" w:line="462" w:lineRule="auto"/>
        <w:ind w:left="-5" w:hanging="3"/>
        <w:jc w:val="both"/>
        <w:rPr>
          <w:rFonts w:ascii="Calibri" w:eastAsia="Calibri" w:hAnsi="Calibri" w:cs="Calibri"/>
          <w:color w:val="000000"/>
          <w:lang w:val="en-GB" w:eastAsia="pl-PL"/>
        </w:rPr>
      </w:pPr>
      <w:r w:rsidRPr="00D81901">
        <w:rPr>
          <w:rFonts w:ascii="Calibri" w:eastAsia="Calibri" w:hAnsi="Calibri" w:cs="Calibri"/>
          <w:color w:val="000000"/>
          <w:lang w:val="en-GB" w:eastAsia="pl-PL"/>
        </w:rPr>
        <w:t xml:space="preserve">To calculate VAT, we </w:t>
      </w:r>
      <w:r w:rsidR="004F64BF" w:rsidRPr="00D81901">
        <w:rPr>
          <w:rFonts w:ascii="Calibri" w:eastAsia="Calibri" w:hAnsi="Calibri" w:cs="Calibri"/>
          <w:color w:val="000000"/>
          <w:lang w:val="en-GB" w:eastAsia="pl-PL"/>
        </w:rPr>
        <w:t>calculate the value of</w:t>
      </w:r>
      <w:r w:rsidRPr="00D81901">
        <w:rPr>
          <w:rFonts w:ascii="Calibri" w:eastAsia="Calibri" w:hAnsi="Calibri" w:cs="Calibri"/>
          <w:color w:val="000000"/>
          <w:lang w:val="en-GB" w:eastAsia="pl-PL"/>
        </w:rPr>
        <w:t xml:space="preserve"> the purchase invoice at the exchange rate of a given currency on the day preceding the invoice issuance.</w:t>
      </w:r>
    </w:p>
    <w:p w14:paraId="08EF1305" w14:textId="77777777" w:rsidR="00627B7F" w:rsidRPr="00D81901" w:rsidRDefault="00627B7F" w:rsidP="003E77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val="en-GB" w:eastAsia="pl-PL"/>
        </w:rPr>
      </w:pPr>
    </w:p>
    <w:p w14:paraId="2BF3FB17" w14:textId="65E7BBA0" w:rsidR="007B6F57" w:rsidRPr="00D81901" w:rsidRDefault="00627B7F" w:rsidP="003E77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val="en-GB" w:eastAsia="pl-PL"/>
        </w:rPr>
      </w:pPr>
      <w:r w:rsidRPr="00D8190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val="en-GB" w:eastAsia="pl-PL"/>
        </w:rPr>
        <w:t xml:space="preserve">Due to the introduction of the EZD system at the University of Szczecin, the circulation of financial documents takes place in two ways (in the EZD system and </w:t>
      </w:r>
      <w:r w:rsidR="00992834" w:rsidRPr="00D8190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val="en-GB" w:eastAsia="pl-PL"/>
        </w:rPr>
        <w:t>in a paper form</w:t>
      </w:r>
      <w:r w:rsidRPr="00D8190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val="en-GB" w:eastAsia="pl-PL"/>
        </w:rPr>
        <w:t>).</w:t>
      </w:r>
    </w:p>
    <w:p w14:paraId="79FD4ED5" w14:textId="2AFE66EE" w:rsidR="00D97D9E" w:rsidRPr="00D81901" w:rsidRDefault="00627B7F" w:rsidP="003E77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val="en-GB" w:eastAsia="pl-PL"/>
        </w:rPr>
      </w:pPr>
      <w:r w:rsidRPr="00D8190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val="en-GB" w:eastAsia="pl-PL"/>
        </w:rPr>
        <w:t xml:space="preserve">It is the responsibility of the doctoral student to deliver the described and signed original invoice </w:t>
      </w:r>
      <w:r w:rsidR="00992834" w:rsidRPr="00D8190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val="en-GB" w:eastAsia="pl-PL"/>
        </w:rPr>
        <w:t xml:space="preserve">together </w:t>
      </w:r>
      <w:r w:rsidRPr="00D8190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val="en-GB" w:eastAsia="pl-PL"/>
        </w:rPr>
        <w:t xml:space="preserve">with attachments (transfer confirmation) to </w:t>
      </w:r>
      <w:r w:rsidRPr="00D8190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yellow"/>
          <w:u w:val="single"/>
          <w:lang w:val="en-GB" w:eastAsia="pl-PL"/>
        </w:rPr>
        <w:t xml:space="preserve">the Office Point serving the Doctoral School, i.e. at ul. Tarczyńskiego </w:t>
      </w:r>
      <w:r w:rsidR="00992834" w:rsidRPr="00D8190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yellow"/>
          <w:u w:val="single"/>
          <w:lang w:val="en-GB" w:eastAsia="pl-PL"/>
        </w:rPr>
        <w:t>–</w:t>
      </w:r>
      <w:r w:rsidRPr="00D8190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yellow"/>
          <w:u w:val="single"/>
          <w:lang w:val="en-GB" w:eastAsia="pl-PL"/>
        </w:rPr>
        <w:t xml:space="preserve"> Main Library, room no. </w:t>
      </w:r>
      <w:r w:rsidR="00B0199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yellow"/>
          <w:u w:val="single"/>
          <w:lang w:val="en-GB" w:eastAsia="pl-PL"/>
        </w:rPr>
        <w:t>4</w:t>
      </w:r>
      <w:r w:rsidRPr="00D8190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yellow"/>
          <w:u w:val="single"/>
          <w:lang w:val="en-GB" w:eastAsia="pl-PL"/>
        </w:rPr>
        <w:t>, in person or via a postal operator.</w:t>
      </w:r>
    </w:p>
    <w:p w14:paraId="1E8D2862" w14:textId="4E6A6569" w:rsidR="00D97D9E" w:rsidRPr="00D81901" w:rsidRDefault="00992834" w:rsidP="003E77D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val="en-GB" w:eastAsia="pl-PL"/>
        </w:rPr>
      </w:pPr>
      <w:r w:rsidRPr="00D8190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val="en-GB" w:eastAsia="pl-PL"/>
        </w:rPr>
        <w:t xml:space="preserve">It is necessary to </w:t>
      </w:r>
      <w:r w:rsidR="009401C2" w:rsidRPr="00D8190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val="en-GB" w:eastAsia="pl-PL"/>
        </w:rPr>
        <w:t xml:space="preserve">deliver </w:t>
      </w:r>
      <w:r w:rsidR="00D97D9E" w:rsidRPr="00D8190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val="en-GB" w:eastAsia="pl-PL"/>
        </w:rPr>
        <w:t>original financial documents,</w:t>
      </w:r>
      <w:r w:rsidRPr="00D8190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val="en-GB" w:eastAsia="pl-PL"/>
        </w:rPr>
        <w:t xml:space="preserve"> which are</w:t>
      </w:r>
      <w:r w:rsidR="00D97D9E" w:rsidRPr="00D8190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val="en-GB" w:eastAsia="pl-PL"/>
        </w:rPr>
        <w:t xml:space="preserve"> described and signed </w:t>
      </w:r>
      <w:r w:rsidRPr="00D8190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val="en-GB" w:eastAsia="pl-PL"/>
        </w:rPr>
        <w:t>–</w:t>
      </w:r>
      <w:r w:rsidR="00D97D9E" w:rsidRPr="00D8190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val="en-GB" w:eastAsia="pl-PL"/>
        </w:rPr>
        <w:t xml:space="preserve"> copies or photos of documents will not be accepted and settled.</w:t>
      </w:r>
    </w:p>
    <w:p w14:paraId="49031ECC" w14:textId="1137FE26" w:rsidR="00EF3B3D" w:rsidRPr="00D81901" w:rsidRDefault="003C1FBC" w:rsidP="003E77DF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7030A0"/>
          <w:u w:val="single"/>
          <w:lang w:val="en-GB" w:eastAsia="pl-PL"/>
        </w:rPr>
      </w:pPr>
      <w:r w:rsidRPr="00D8190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cyan"/>
          <w:u w:val="single"/>
          <w:lang w:val="en-GB" w:eastAsia="pl-PL"/>
        </w:rPr>
        <w:t>The description of the invoice must be in Polish (requirements of the Bursar's Office). In case of problems with the Polish language, English-speaking doctoral students are requested to ask their supervisors for help</w:t>
      </w:r>
      <w:r w:rsidR="00774617" w:rsidRPr="00D81901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highlight w:val="cyan"/>
          <w:u w:val="single"/>
          <w:lang w:val="en-GB" w:eastAsia="pl-PL"/>
        </w:rPr>
        <w:t>.</w:t>
      </w:r>
    </w:p>
    <w:p w14:paraId="19895504" w14:textId="0A93EB92" w:rsidR="0022323D" w:rsidRPr="00D81901" w:rsidRDefault="0022323D" w:rsidP="0022323D">
      <w:pPr>
        <w:spacing w:before="100" w:beforeAutospacing="1" w:after="100" w:afterAutospacing="1" w:line="240" w:lineRule="auto"/>
        <w:ind w:left="720"/>
        <w:rPr>
          <w:sz w:val="24"/>
          <w:szCs w:val="24"/>
          <w:lang w:val="en-GB" w:eastAsia="pl-PL"/>
        </w:rPr>
      </w:pPr>
      <w:r w:rsidRPr="00D81901">
        <w:rPr>
          <w:sz w:val="24"/>
          <w:szCs w:val="24"/>
          <w:lang w:val="en-GB" w:eastAsia="pl-PL"/>
        </w:rPr>
        <w:t xml:space="preserve">All invoices/receipts </w:t>
      </w:r>
      <w:r w:rsidRPr="00D81901">
        <w:rPr>
          <w:b/>
          <w:bCs/>
          <w:sz w:val="24"/>
          <w:szCs w:val="24"/>
          <w:lang w:val="en-GB" w:eastAsia="pl-PL"/>
        </w:rPr>
        <w:t xml:space="preserve">should be described on the </w:t>
      </w:r>
      <w:r w:rsidR="003C1FBC" w:rsidRPr="00D81901">
        <w:rPr>
          <w:b/>
          <w:bCs/>
          <w:sz w:val="24"/>
          <w:szCs w:val="24"/>
          <w:lang w:val="en-GB" w:eastAsia="pl-PL"/>
        </w:rPr>
        <w:t>back,</w:t>
      </w:r>
      <w:r w:rsidRPr="00D81901">
        <w:rPr>
          <w:sz w:val="24"/>
          <w:szCs w:val="24"/>
          <w:lang w:val="en-GB" w:eastAsia="pl-PL"/>
        </w:rPr>
        <w:t xml:space="preserve"> i.e.:</w:t>
      </w:r>
    </w:p>
    <w:p w14:paraId="448F4502" w14:textId="77777777" w:rsidR="0022323D" w:rsidRPr="00D81901" w:rsidRDefault="0022323D" w:rsidP="0022323D">
      <w:pPr>
        <w:spacing w:before="100" w:beforeAutospacing="1" w:after="100" w:afterAutospacing="1"/>
        <w:rPr>
          <w:sz w:val="24"/>
          <w:szCs w:val="24"/>
          <w:lang w:val="en-GB" w:eastAsia="pl-PL"/>
        </w:rPr>
      </w:pPr>
      <w:r w:rsidRPr="00D81901">
        <w:rPr>
          <w:sz w:val="24"/>
          <w:szCs w:val="24"/>
          <w:lang w:val="en-GB" w:eastAsia="pl-PL"/>
        </w:rPr>
        <w:t>Example:</w:t>
      </w:r>
    </w:p>
    <w:tbl>
      <w:tblPr>
        <w:tblW w:w="25452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0631"/>
        <w:gridCol w:w="960"/>
        <w:gridCol w:w="960"/>
        <w:gridCol w:w="421"/>
        <w:gridCol w:w="539"/>
        <w:gridCol w:w="421"/>
        <w:gridCol w:w="539"/>
        <w:gridCol w:w="421"/>
        <w:gridCol w:w="539"/>
        <w:gridCol w:w="421"/>
        <w:gridCol w:w="539"/>
        <w:gridCol w:w="421"/>
        <w:gridCol w:w="539"/>
        <w:gridCol w:w="421"/>
        <w:gridCol w:w="539"/>
        <w:gridCol w:w="421"/>
        <w:gridCol w:w="539"/>
        <w:gridCol w:w="421"/>
        <w:gridCol w:w="539"/>
        <w:gridCol w:w="421"/>
        <w:gridCol w:w="539"/>
        <w:gridCol w:w="421"/>
        <w:gridCol w:w="539"/>
        <w:gridCol w:w="421"/>
        <w:gridCol w:w="539"/>
        <w:gridCol w:w="421"/>
        <w:gridCol w:w="960"/>
        <w:gridCol w:w="960"/>
      </w:tblGrid>
      <w:tr w:rsidR="0022323D" w:rsidRPr="00D81901" w14:paraId="3401211C" w14:textId="77777777" w:rsidTr="009228AF">
        <w:trPr>
          <w:gridAfter w:val="3"/>
          <w:wAfter w:w="2341" w:type="dxa"/>
          <w:trHeight w:val="315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72D4D" w14:textId="1A92ADAE" w:rsidR="0022323D" w:rsidRPr="00D81901" w:rsidRDefault="0022323D" w:rsidP="009228AF">
            <w:pPr>
              <w:tabs>
                <w:tab w:val="left" w:pos="8966"/>
              </w:tabs>
              <w:ind w:right="1484"/>
              <w:rPr>
                <w:rFonts w:ascii="Calibri" w:hAnsi="Calibri" w:cs="Calibri"/>
                <w:color w:val="000000"/>
                <w:lang w:val="en-GB" w:eastAsia="pl-PL"/>
              </w:rPr>
            </w:pPr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>Purchase made/service performed for the purpose of implementing a scientific</w:t>
            </w:r>
            <w:r w:rsidR="003C1FBC" w:rsidRPr="00D81901">
              <w:rPr>
                <w:rFonts w:ascii="Calibri" w:hAnsi="Calibri" w:cs="Calibri"/>
                <w:color w:val="000000"/>
                <w:lang w:val="en-GB" w:eastAsia="pl-PL"/>
              </w:rPr>
              <w:t xml:space="preserve"> t</w:t>
            </w:r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>ask, decision no</w:t>
            </w:r>
            <w:r w:rsidR="003C1FBC" w:rsidRPr="00D81901">
              <w:rPr>
                <w:rFonts w:ascii="Calibri" w:hAnsi="Calibri" w:cs="Calibri"/>
                <w:color w:val="000000"/>
                <w:lang w:val="en-GB" w:eastAsia="pl-PL"/>
              </w:rPr>
              <w:t>………………………………</w:t>
            </w:r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>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B910" w14:textId="77777777" w:rsidR="0022323D" w:rsidRPr="00D81901" w:rsidRDefault="0022323D" w:rsidP="009228AF">
            <w:pPr>
              <w:tabs>
                <w:tab w:val="left" w:pos="8966"/>
              </w:tabs>
              <w:rPr>
                <w:rFonts w:ascii="Calibri" w:hAnsi="Calibri" w:cs="Calibri"/>
                <w:color w:val="000000"/>
                <w:lang w:val="en-GB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58FB4" w14:textId="77777777" w:rsidR="0022323D" w:rsidRPr="00D81901" w:rsidRDefault="0022323D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6ADA7" w14:textId="77777777" w:rsidR="0022323D" w:rsidRPr="00D81901" w:rsidRDefault="0022323D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0C186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D140F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77040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F0D5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91450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D217E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AD636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89DC5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8BB1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128B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</w:tr>
      <w:tr w:rsidR="0022323D" w:rsidRPr="00D81901" w14:paraId="26E5D88A" w14:textId="77777777" w:rsidTr="009228AF">
        <w:trPr>
          <w:gridAfter w:val="3"/>
          <w:wAfter w:w="2341" w:type="dxa"/>
          <w:trHeight w:val="315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FF502" w14:textId="6F9A6205" w:rsidR="0022323D" w:rsidRPr="00D81901" w:rsidRDefault="0022323D" w:rsidP="009228AF">
            <w:pPr>
              <w:tabs>
                <w:tab w:val="left" w:pos="8966"/>
              </w:tabs>
              <w:ind w:right="1484"/>
              <w:rPr>
                <w:rFonts w:ascii="Calibri" w:hAnsi="Calibri" w:cs="Calibri"/>
                <w:color w:val="000000"/>
                <w:lang w:val="en-GB" w:eastAsia="pl-PL"/>
              </w:rPr>
            </w:pPr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 xml:space="preserve">Example description of an </w:t>
            </w:r>
            <w:r w:rsidR="003C1FBC" w:rsidRPr="00D81901">
              <w:rPr>
                <w:rFonts w:ascii="Calibri" w:hAnsi="Calibri" w:cs="Calibri"/>
                <w:color w:val="000000"/>
                <w:lang w:val="en-GB" w:eastAsia="pl-PL"/>
              </w:rPr>
              <w:t>expenditure</w:t>
            </w:r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>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0C4B" w14:textId="77777777" w:rsidR="0022323D" w:rsidRPr="00D81901" w:rsidRDefault="0022323D" w:rsidP="009228AF">
            <w:pPr>
              <w:tabs>
                <w:tab w:val="left" w:pos="8966"/>
              </w:tabs>
              <w:rPr>
                <w:rFonts w:ascii="Calibri" w:hAnsi="Calibri" w:cs="Calibri"/>
                <w:color w:val="000000"/>
                <w:lang w:val="en-GB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666C" w14:textId="77777777" w:rsidR="0022323D" w:rsidRPr="00D81901" w:rsidRDefault="0022323D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91A85" w14:textId="77777777" w:rsidR="0022323D" w:rsidRPr="00D81901" w:rsidRDefault="0022323D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3FA0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4B8C2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F04D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F7D56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80B09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13FD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A1D6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48CF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E24A3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04939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</w:tr>
      <w:tr w:rsidR="0022323D" w:rsidRPr="00D81901" w14:paraId="35F42039" w14:textId="77777777" w:rsidTr="009228AF">
        <w:trPr>
          <w:gridAfter w:val="3"/>
          <w:wAfter w:w="2341" w:type="dxa"/>
          <w:trHeight w:val="315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0EEE3" w14:textId="329F2C1C" w:rsidR="0022323D" w:rsidRPr="00D81901" w:rsidRDefault="0022323D" w:rsidP="009228AF">
            <w:pPr>
              <w:tabs>
                <w:tab w:val="left" w:pos="8966"/>
              </w:tabs>
              <w:ind w:right="1484"/>
              <w:rPr>
                <w:rFonts w:ascii="Calibri" w:hAnsi="Calibri" w:cs="Calibri"/>
                <w:color w:val="000000"/>
                <w:lang w:val="en-GB" w:eastAsia="pl-PL"/>
              </w:rPr>
            </w:pPr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 xml:space="preserve">4.1. Printing service: </w:t>
            </w:r>
            <w:r w:rsidR="003C1FBC" w:rsidRPr="00D81901">
              <w:rPr>
                <w:rFonts w:ascii="Calibri" w:hAnsi="Calibri" w:cs="Calibri"/>
                <w:color w:val="000000"/>
                <w:lang w:val="en-GB" w:eastAsia="pl-PL"/>
              </w:rPr>
              <w:t>Printing of a poster</w:t>
            </w:r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>……………for a conference…………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629D" w14:textId="77777777" w:rsidR="0022323D" w:rsidRPr="00D81901" w:rsidRDefault="0022323D" w:rsidP="009228AF">
            <w:pPr>
              <w:tabs>
                <w:tab w:val="left" w:pos="8966"/>
              </w:tabs>
              <w:rPr>
                <w:rFonts w:ascii="Calibri" w:hAnsi="Calibri" w:cs="Calibri"/>
                <w:color w:val="000000"/>
                <w:lang w:val="en-GB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0D4E" w14:textId="77777777" w:rsidR="0022323D" w:rsidRPr="00D81901" w:rsidRDefault="0022323D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0553C" w14:textId="77777777" w:rsidR="0022323D" w:rsidRPr="00D81901" w:rsidRDefault="0022323D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A7DA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E33DC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83459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015D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A2E1E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0CF1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3D70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2BAE5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A86E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3124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</w:tr>
      <w:tr w:rsidR="0022323D" w:rsidRPr="00D81901" w14:paraId="1352FA95" w14:textId="77777777" w:rsidTr="009228AF">
        <w:trPr>
          <w:gridAfter w:val="3"/>
          <w:wAfter w:w="2341" w:type="dxa"/>
          <w:trHeight w:val="315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504FE" w14:textId="4B4CA628" w:rsidR="0022323D" w:rsidRPr="00D81901" w:rsidRDefault="0022323D" w:rsidP="009228AF">
            <w:pPr>
              <w:tabs>
                <w:tab w:val="left" w:pos="8966"/>
              </w:tabs>
              <w:ind w:right="1484"/>
              <w:rPr>
                <w:rFonts w:ascii="Calibri" w:hAnsi="Calibri" w:cs="Calibri"/>
                <w:color w:val="000000"/>
                <w:lang w:val="en-GB" w:eastAsia="pl-PL"/>
              </w:rPr>
            </w:pPr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 xml:space="preserve">2. Consumption of materials: Purchase of reagents necessary to </w:t>
            </w:r>
            <w:r w:rsidR="003C1FBC" w:rsidRPr="00D81901">
              <w:rPr>
                <w:rFonts w:ascii="Calibri" w:hAnsi="Calibri" w:cs="Calibri"/>
                <w:color w:val="000000"/>
                <w:lang w:val="en-GB" w:eastAsia="pl-PL"/>
              </w:rPr>
              <w:t>conduct</w:t>
            </w:r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 xml:space="preserve"> </w:t>
            </w:r>
            <w:r w:rsidR="003C1FBC" w:rsidRPr="00D81901">
              <w:rPr>
                <w:rFonts w:ascii="Calibri" w:hAnsi="Calibri" w:cs="Calibri"/>
                <w:color w:val="000000"/>
                <w:lang w:val="en-GB" w:eastAsia="pl-PL"/>
              </w:rPr>
              <w:t>an</w:t>
            </w:r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 xml:space="preserve"> analysis…</w:t>
            </w:r>
            <w:r w:rsidR="003C1FBC" w:rsidRPr="00D81901">
              <w:rPr>
                <w:rFonts w:ascii="Calibri" w:hAnsi="Calibri" w:cs="Calibri"/>
                <w:color w:val="000000"/>
                <w:lang w:val="en-GB" w:eastAsia="pl-PL"/>
              </w:rPr>
              <w:t>……….</w:t>
            </w:r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>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7FC2" w14:textId="77777777" w:rsidR="0022323D" w:rsidRPr="00D81901" w:rsidRDefault="0022323D" w:rsidP="009228AF">
            <w:pPr>
              <w:tabs>
                <w:tab w:val="left" w:pos="8966"/>
              </w:tabs>
              <w:rPr>
                <w:rFonts w:ascii="Calibri" w:hAnsi="Calibri" w:cs="Calibri"/>
                <w:color w:val="000000"/>
                <w:lang w:val="en-GB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AF623" w14:textId="77777777" w:rsidR="0022323D" w:rsidRPr="00D81901" w:rsidRDefault="0022323D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1938D" w14:textId="77777777" w:rsidR="0022323D" w:rsidRPr="00D81901" w:rsidRDefault="0022323D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66535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8C0D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BAD9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ECE81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0321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5E1C8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3727F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C5EDC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E6E7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A029C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</w:tr>
      <w:tr w:rsidR="0022323D" w:rsidRPr="00D81901" w14:paraId="12E64D81" w14:textId="77777777" w:rsidTr="009228AF">
        <w:trPr>
          <w:gridAfter w:val="3"/>
          <w:wAfter w:w="2341" w:type="dxa"/>
          <w:trHeight w:val="315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3ECC9" w14:textId="77777777" w:rsidR="0022323D" w:rsidRPr="00D81901" w:rsidRDefault="0022323D" w:rsidP="009228AF">
            <w:pPr>
              <w:tabs>
                <w:tab w:val="left" w:pos="8966"/>
              </w:tabs>
              <w:ind w:right="3826"/>
              <w:rPr>
                <w:rFonts w:ascii="Calibri" w:hAnsi="Calibri" w:cs="Calibri"/>
                <w:color w:val="000000"/>
                <w:lang w:val="en-GB" w:eastAsia="pl-PL"/>
              </w:rPr>
            </w:pPr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 xml:space="preserve">Scientific </w:t>
            </w:r>
            <w:proofErr w:type="gramStart"/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>discipline:…</w:t>
            </w:r>
            <w:proofErr w:type="gramEnd"/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>……………………………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BFE0" w14:textId="77777777" w:rsidR="0022323D" w:rsidRPr="00D81901" w:rsidRDefault="0022323D" w:rsidP="009228AF">
            <w:pPr>
              <w:tabs>
                <w:tab w:val="left" w:pos="8966"/>
              </w:tabs>
              <w:rPr>
                <w:rFonts w:ascii="Calibri" w:hAnsi="Calibri" w:cs="Calibri"/>
                <w:color w:val="000000"/>
                <w:lang w:val="en-GB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0BABC" w14:textId="77777777" w:rsidR="0022323D" w:rsidRPr="00D81901" w:rsidRDefault="0022323D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88746" w14:textId="77777777" w:rsidR="0022323D" w:rsidRPr="00D81901" w:rsidRDefault="0022323D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A857C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C607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CEE89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B824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03A9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94847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BC7C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9C214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75BB9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959C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</w:tr>
      <w:tr w:rsidR="0022323D" w:rsidRPr="00D81901" w14:paraId="3C7A8B1D" w14:textId="77777777" w:rsidTr="009228AF">
        <w:trPr>
          <w:gridAfter w:val="3"/>
          <w:wAfter w:w="2341" w:type="dxa"/>
          <w:trHeight w:val="315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15402" w14:textId="0E577085" w:rsidR="00774617" w:rsidRPr="00D81901" w:rsidRDefault="003C1FBC" w:rsidP="009228AF">
            <w:pPr>
              <w:tabs>
                <w:tab w:val="left" w:pos="8966"/>
              </w:tabs>
              <w:ind w:right="1484"/>
              <w:rPr>
                <w:rFonts w:ascii="Calibri" w:hAnsi="Calibri" w:cs="Calibri"/>
                <w:b/>
                <w:bCs/>
                <w:color w:val="000000"/>
                <w:lang w:val="en-GB" w:eastAsia="pl-PL"/>
              </w:rPr>
            </w:pPr>
            <w:r w:rsidRPr="00D81901">
              <w:rPr>
                <w:rFonts w:ascii="Calibri" w:hAnsi="Calibri" w:cs="Calibri"/>
                <w:b/>
                <w:bCs/>
                <w:color w:val="000000"/>
                <w:lang w:val="en-GB" w:eastAsia="pl-PL"/>
              </w:rPr>
              <w:t>Expenditure</w:t>
            </w:r>
            <w:r w:rsidR="0022323D" w:rsidRPr="00D81901">
              <w:rPr>
                <w:rFonts w:ascii="Calibri" w:hAnsi="Calibri" w:cs="Calibri"/>
                <w:b/>
                <w:bCs/>
                <w:color w:val="000000"/>
                <w:lang w:val="en-GB" w:eastAsia="pl-PL"/>
              </w:rPr>
              <w:t xml:space="preserve"> in accordance with the cost estimate and schedule of activities as part of the implementation of the scientific task.</w:t>
            </w:r>
          </w:p>
          <w:p w14:paraId="2837FA73" w14:textId="3D945E1D" w:rsidR="0022323D" w:rsidRPr="00D81901" w:rsidRDefault="0022323D" w:rsidP="009228AF">
            <w:pPr>
              <w:tabs>
                <w:tab w:val="left" w:pos="8966"/>
              </w:tabs>
              <w:ind w:right="3826"/>
              <w:rPr>
                <w:rFonts w:ascii="Calibri" w:hAnsi="Calibri" w:cs="Calibri"/>
                <w:color w:val="000000"/>
                <w:lang w:val="en-GB" w:eastAsia="pl-PL"/>
              </w:rPr>
            </w:pPr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 xml:space="preserve">Type of </w:t>
            </w:r>
            <w:proofErr w:type="gramStart"/>
            <w:r w:rsidR="003C1FBC" w:rsidRPr="00D81901">
              <w:rPr>
                <w:rFonts w:ascii="Calibri" w:hAnsi="Calibri" w:cs="Calibri"/>
                <w:color w:val="000000"/>
                <w:lang w:val="en-GB" w:eastAsia="pl-PL"/>
              </w:rPr>
              <w:t>expenditure</w:t>
            </w:r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>:…</w:t>
            </w:r>
            <w:proofErr w:type="gramEnd"/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>……………………………………………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C42E" w14:textId="77777777" w:rsidR="0022323D" w:rsidRPr="00D81901" w:rsidRDefault="0022323D" w:rsidP="009228AF">
            <w:pPr>
              <w:tabs>
                <w:tab w:val="left" w:pos="8966"/>
              </w:tabs>
              <w:rPr>
                <w:rFonts w:ascii="Calibri" w:hAnsi="Calibri" w:cs="Calibri"/>
                <w:color w:val="000000"/>
                <w:lang w:val="en-GB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C73E" w14:textId="77777777" w:rsidR="0022323D" w:rsidRPr="00D81901" w:rsidRDefault="0022323D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967A5" w14:textId="77777777" w:rsidR="0022323D" w:rsidRPr="00D81901" w:rsidRDefault="0022323D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01C8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30B28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CB88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FFD9F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16EBD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2286C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56FF4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4D0BD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8A81F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66F5A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</w:tr>
      <w:tr w:rsidR="0022323D" w:rsidRPr="00D81901" w14:paraId="34E1A644" w14:textId="77777777" w:rsidTr="009228AF">
        <w:trPr>
          <w:gridAfter w:val="3"/>
          <w:wAfter w:w="2341" w:type="dxa"/>
          <w:trHeight w:val="570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B2F3" w14:textId="77777777" w:rsidR="0022323D" w:rsidRPr="00D81901" w:rsidRDefault="0022323D" w:rsidP="009228AF">
            <w:pPr>
              <w:tabs>
                <w:tab w:val="left" w:pos="8966"/>
              </w:tabs>
              <w:ind w:right="3826"/>
              <w:rPr>
                <w:rFonts w:ascii="Calibri" w:hAnsi="Calibri" w:cs="Calibri"/>
                <w:color w:val="000000"/>
                <w:lang w:val="en-GB" w:eastAsia="pl-PL"/>
              </w:rPr>
            </w:pPr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DED5" w14:textId="77777777" w:rsidR="0022323D" w:rsidRPr="00D81901" w:rsidRDefault="0022323D" w:rsidP="009228AF">
            <w:pPr>
              <w:tabs>
                <w:tab w:val="left" w:pos="8966"/>
              </w:tabs>
              <w:rPr>
                <w:rFonts w:ascii="Calibri" w:hAnsi="Calibri" w:cs="Calibri"/>
                <w:color w:val="000000"/>
                <w:lang w:val="en-GB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960F4" w14:textId="77777777" w:rsidR="0022323D" w:rsidRPr="00D81901" w:rsidRDefault="0022323D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946BC" w14:textId="77777777" w:rsidR="0022323D" w:rsidRPr="00D81901" w:rsidRDefault="0022323D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B68D3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27EA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1DDD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789AA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2B8E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8B68A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F7857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81E4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CAF7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635FC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</w:tr>
      <w:tr w:rsidR="0022323D" w:rsidRPr="00D81901" w14:paraId="05DEE5BC" w14:textId="77777777" w:rsidTr="009228AF">
        <w:trPr>
          <w:gridAfter w:val="3"/>
          <w:wAfter w:w="2341" w:type="dxa"/>
          <w:trHeight w:val="540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44E81" w14:textId="16234EB9" w:rsidR="0022323D" w:rsidRPr="00D81901" w:rsidRDefault="0022323D" w:rsidP="009228AF">
            <w:pPr>
              <w:tabs>
                <w:tab w:val="left" w:pos="8966"/>
              </w:tabs>
              <w:ind w:right="1484"/>
              <w:rPr>
                <w:rFonts w:ascii="Calibri" w:hAnsi="Calibri" w:cs="Calibri"/>
                <w:color w:val="000000"/>
                <w:lang w:val="en-GB" w:eastAsia="pl-PL"/>
              </w:rPr>
            </w:pPr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 xml:space="preserve">…………………………………………………………. </w:t>
            </w:r>
            <w:r w:rsidR="003C1FBC" w:rsidRPr="00D81901">
              <w:rPr>
                <w:rFonts w:ascii="Calibri" w:hAnsi="Calibri" w:cs="Calibri"/>
                <w:color w:val="000000"/>
                <w:lang w:val="en-GB" w:eastAsia="pl-PL"/>
              </w:rPr>
              <w:t xml:space="preserve">                                                 </w:t>
            </w:r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>…………………………………………………….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7B00" w14:textId="77777777" w:rsidR="0022323D" w:rsidRPr="00D81901" w:rsidRDefault="0022323D" w:rsidP="009228AF">
            <w:pPr>
              <w:tabs>
                <w:tab w:val="left" w:pos="8966"/>
              </w:tabs>
              <w:rPr>
                <w:rFonts w:ascii="Calibri" w:hAnsi="Calibri" w:cs="Calibri"/>
                <w:color w:val="000000"/>
                <w:lang w:val="en-GB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7FC6" w14:textId="77777777" w:rsidR="0022323D" w:rsidRPr="00D81901" w:rsidRDefault="0022323D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5A16D" w14:textId="77777777" w:rsidR="0022323D" w:rsidRPr="00D81901" w:rsidRDefault="0022323D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EABEA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5F743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BBB94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E85E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A428E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0459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B9E1A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D2822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6E47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8700A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</w:tr>
      <w:tr w:rsidR="0022323D" w:rsidRPr="00D81901" w14:paraId="0F5F45EE" w14:textId="77777777" w:rsidTr="009228AF">
        <w:trPr>
          <w:gridAfter w:val="3"/>
          <w:wAfter w:w="2341" w:type="dxa"/>
          <w:trHeight w:val="315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1651" w14:textId="610CF5AC" w:rsidR="0022323D" w:rsidRPr="00D81901" w:rsidRDefault="003C1FBC" w:rsidP="009228AF">
            <w:pPr>
              <w:tabs>
                <w:tab w:val="left" w:pos="8966"/>
              </w:tabs>
              <w:ind w:right="1484"/>
              <w:rPr>
                <w:rFonts w:ascii="Calibri" w:hAnsi="Calibri" w:cs="Calibri"/>
                <w:color w:val="000000"/>
                <w:lang w:val="en-GB" w:eastAsia="pl-PL"/>
              </w:rPr>
            </w:pPr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 xml:space="preserve">   </w:t>
            </w:r>
            <w:r w:rsidR="0022323D" w:rsidRPr="00D81901">
              <w:rPr>
                <w:rFonts w:ascii="Calibri" w:hAnsi="Calibri" w:cs="Calibri"/>
                <w:color w:val="000000"/>
                <w:lang w:val="en-GB" w:eastAsia="pl-PL"/>
              </w:rPr>
              <w:t xml:space="preserve">signature of the doctoral student </w:t>
            </w:r>
            <w:r w:rsidRPr="00D81901">
              <w:rPr>
                <w:rFonts w:ascii="Calibri" w:hAnsi="Calibri" w:cs="Calibri"/>
                <w:color w:val="000000"/>
                <w:lang w:val="en-GB" w:eastAsia="pl-PL"/>
              </w:rPr>
              <w:t xml:space="preserve">                                                                 </w:t>
            </w:r>
            <w:r w:rsidR="0022323D" w:rsidRPr="00D81901">
              <w:rPr>
                <w:rFonts w:ascii="Calibri" w:hAnsi="Calibri" w:cs="Calibri"/>
                <w:color w:val="000000"/>
                <w:lang w:val="en-GB" w:eastAsia="pl-PL"/>
              </w:rPr>
              <w:t>signature of the supervisor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0409" w14:textId="77777777" w:rsidR="0022323D" w:rsidRPr="00D81901" w:rsidRDefault="0022323D" w:rsidP="009228AF">
            <w:pPr>
              <w:tabs>
                <w:tab w:val="left" w:pos="8966"/>
              </w:tabs>
              <w:rPr>
                <w:rFonts w:ascii="Calibri" w:hAnsi="Calibri" w:cs="Calibri"/>
                <w:color w:val="000000"/>
                <w:lang w:val="en-GB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8823F" w14:textId="77777777" w:rsidR="0022323D" w:rsidRPr="00D81901" w:rsidRDefault="0022323D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6E7A" w14:textId="77777777" w:rsidR="0022323D" w:rsidRPr="00D81901" w:rsidRDefault="0022323D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FEBA7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3B62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31702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6A408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FADDC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D9A6C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A28B5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6AD0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69D36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9C674" w14:textId="77777777" w:rsidR="0022323D" w:rsidRPr="00D81901" w:rsidRDefault="0022323D" w:rsidP="00524DE7">
            <w:pPr>
              <w:rPr>
                <w:lang w:val="en-GB" w:eastAsia="pl-PL"/>
              </w:rPr>
            </w:pPr>
          </w:p>
        </w:tc>
      </w:tr>
      <w:tr w:rsidR="00171122" w:rsidRPr="00D81901" w14:paraId="65D84168" w14:textId="77777777" w:rsidTr="009228AF">
        <w:trPr>
          <w:gridAfter w:val="3"/>
          <w:wAfter w:w="2341" w:type="dxa"/>
          <w:trHeight w:val="315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0A839E" w14:textId="314D0936" w:rsidR="00171122" w:rsidRPr="00D81901" w:rsidRDefault="00171122" w:rsidP="009228AF">
            <w:pPr>
              <w:tabs>
                <w:tab w:val="left" w:pos="8966"/>
              </w:tabs>
              <w:ind w:right="3826"/>
              <w:rPr>
                <w:rFonts w:ascii="Calibri" w:hAnsi="Calibri" w:cs="Calibri"/>
                <w:color w:val="000000"/>
                <w:lang w:val="en-GB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81B2B" w14:textId="77777777" w:rsidR="00171122" w:rsidRPr="00D81901" w:rsidRDefault="00171122" w:rsidP="009228AF">
            <w:pPr>
              <w:tabs>
                <w:tab w:val="left" w:pos="8966"/>
              </w:tabs>
              <w:rPr>
                <w:rFonts w:ascii="Calibri" w:hAnsi="Calibri" w:cs="Calibri"/>
                <w:color w:val="000000"/>
                <w:lang w:val="en-GB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70123" w14:textId="77777777" w:rsidR="00171122" w:rsidRPr="00D81901" w:rsidRDefault="00171122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5E40" w14:textId="77777777" w:rsidR="00171122" w:rsidRPr="00D81901" w:rsidRDefault="00171122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A27B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0B5F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A0851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DC5DE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C991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D7313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490F8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57AE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28307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9950F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</w:tr>
      <w:tr w:rsidR="00171122" w:rsidRPr="00D81901" w14:paraId="71D6F3A5" w14:textId="77777777" w:rsidTr="009228AF">
        <w:trPr>
          <w:gridAfter w:val="3"/>
          <w:wAfter w:w="2341" w:type="dxa"/>
          <w:trHeight w:val="315"/>
        </w:trPr>
        <w:tc>
          <w:tcPr>
            <w:tcW w:w="10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F88794" w14:textId="592D6E8B" w:rsidR="00171122" w:rsidRPr="00D81901" w:rsidRDefault="00171122" w:rsidP="009228AF">
            <w:pPr>
              <w:tabs>
                <w:tab w:val="left" w:pos="6588"/>
              </w:tabs>
              <w:spacing w:after="0" w:line="240" w:lineRule="auto"/>
              <w:ind w:right="3826"/>
              <w:rPr>
                <w:rFonts w:ascii="Calibri" w:eastAsia="Times New Roman" w:hAnsi="Calibri" w:cs="Calibri"/>
                <w:color w:val="FF0000"/>
                <w:sz w:val="32"/>
                <w:szCs w:val="32"/>
                <w:u w:val="single"/>
                <w:lang w:val="en-GB" w:eastAsia="pl-PL"/>
              </w:rPr>
            </w:pPr>
            <w:r w:rsidRPr="00D81901">
              <w:rPr>
                <w:rFonts w:ascii="Calibri" w:eastAsia="Times New Roman" w:hAnsi="Calibri" w:cs="Calibri"/>
                <w:color w:val="FF0000"/>
                <w:sz w:val="32"/>
                <w:szCs w:val="32"/>
                <w:u w:val="single"/>
                <w:lang w:val="en-GB" w:eastAsia="pl-PL"/>
              </w:rPr>
              <w:lastRenderedPageBreak/>
              <w:t xml:space="preserve">IMPORTANT!!! Each document must be signed by the </w:t>
            </w:r>
            <w:r w:rsidR="00D81901" w:rsidRPr="00D81901">
              <w:rPr>
                <w:rFonts w:ascii="Calibri" w:eastAsia="Times New Roman" w:hAnsi="Calibri" w:cs="Calibri"/>
                <w:color w:val="FF0000"/>
                <w:sz w:val="32"/>
                <w:szCs w:val="32"/>
                <w:u w:val="single"/>
                <w:lang w:val="en-GB" w:eastAsia="pl-PL"/>
              </w:rPr>
              <w:t>Supervisor.</w:t>
            </w:r>
          </w:p>
          <w:p w14:paraId="3C719F68" w14:textId="77777777" w:rsidR="00A912BE" w:rsidRPr="00D81901" w:rsidRDefault="00A912BE" w:rsidP="009228AF">
            <w:pPr>
              <w:tabs>
                <w:tab w:val="left" w:pos="8966"/>
              </w:tabs>
              <w:spacing w:after="0" w:line="240" w:lineRule="auto"/>
              <w:ind w:right="3826"/>
              <w:rPr>
                <w:rFonts w:ascii="Calibri" w:hAnsi="Calibri" w:cs="Calibri"/>
                <w:color w:val="FF0000"/>
                <w:sz w:val="32"/>
                <w:szCs w:val="32"/>
                <w:lang w:val="en-GB" w:eastAsia="pl-PL"/>
              </w:rPr>
            </w:pPr>
          </w:p>
          <w:p w14:paraId="0EF013A2" w14:textId="39F1DB2E" w:rsidR="00A639AD" w:rsidRPr="00D81901" w:rsidRDefault="00A639AD" w:rsidP="009228AF">
            <w:pPr>
              <w:tabs>
                <w:tab w:val="left" w:pos="8966"/>
              </w:tabs>
              <w:spacing w:after="0" w:line="240" w:lineRule="auto"/>
              <w:ind w:right="1484"/>
              <w:rPr>
                <w:rFonts w:ascii="Calibri" w:hAnsi="Calibri" w:cs="Calibri"/>
                <w:color w:val="FF0000"/>
                <w:sz w:val="32"/>
                <w:szCs w:val="32"/>
                <w:lang w:val="en-GB" w:eastAsia="pl-PL"/>
              </w:rPr>
            </w:pPr>
            <w:r w:rsidRPr="00D81901">
              <w:rPr>
                <w:rFonts w:ascii="Calibri" w:hAnsi="Calibri" w:cs="Calibri"/>
                <w:color w:val="FF0000"/>
                <w:sz w:val="32"/>
                <w:szCs w:val="32"/>
                <w:lang w:val="en-GB" w:eastAsia="pl-PL"/>
              </w:rPr>
              <w:t>Invoices received electronically should be sent by e-mail:</w:t>
            </w:r>
          </w:p>
          <w:p w14:paraId="5ADF4571" w14:textId="7A1AA49B" w:rsidR="00A639AD" w:rsidRDefault="00A639AD" w:rsidP="009228AF">
            <w:pPr>
              <w:tabs>
                <w:tab w:val="left" w:pos="8966"/>
              </w:tabs>
              <w:spacing w:after="0" w:line="240" w:lineRule="auto"/>
              <w:ind w:right="1342"/>
              <w:rPr>
                <w:rFonts w:ascii="Calibri" w:hAnsi="Calibri" w:cs="Calibri"/>
                <w:color w:val="FF0000"/>
                <w:sz w:val="32"/>
                <w:szCs w:val="32"/>
                <w:lang w:val="en-GB" w:eastAsia="pl-PL"/>
              </w:rPr>
            </w:pPr>
            <w:hyperlink r:id="rId10" w:history="1">
              <w:r w:rsidRPr="00D81901">
                <w:rPr>
                  <w:rStyle w:val="Hipercze"/>
                  <w:rFonts w:ascii="Calibri" w:hAnsi="Calibri" w:cs="Calibri"/>
                  <w:sz w:val="32"/>
                  <w:szCs w:val="32"/>
                  <w:lang w:val="en-GB" w:eastAsia="pl-PL"/>
                </w:rPr>
                <w:t>granty.szkola.doktorska@usz.edu.pl</w:t>
              </w:r>
            </w:hyperlink>
            <w:r w:rsidRPr="00D81901">
              <w:rPr>
                <w:rStyle w:val="Hipercze"/>
                <w:rFonts w:ascii="Calibri" w:hAnsi="Calibri" w:cs="Calibri"/>
                <w:sz w:val="32"/>
                <w:szCs w:val="32"/>
                <w:lang w:val="en-GB" w:eastAsia="pl-PL"/>
              </w:rPr>
              <w:t>.</w:t>
            </w:r>
            <w:r w:rsidRPr="00D81901">
              <w:rPr>
                <w:rFonts w:ascii="Calibri" w:hAnsi="Calibri" w:cs="Calibri"/>
                <w:color w:val="FF0000"/>
                <w:sz w:val="32"/>
                <w:szCs w:val="32"/>
                <w:lang w:val="en-GB" w:eastAsia="pl-PL"/>
              </w:rPr>
              <w:t xml:space="preserve"> Please include in the email content that the invoice received electronically does not have a paper version. It is also necessary to send a scan of the invoice description together with the signature of the doctoral student and supervisor, and if the invoice was paid by the doctoral student – proof of payment.</w:t>
            </w:r>
          </w:p>
          <w:p w14:paraId="1926FEF7" w14:textId="77777777" w:rsidR="00B01996" w:rsidRDefault="00B01996" w:rsidP="009228AF">
            <w:pPr>
              <w:tabs>
                <w:tab w:val="left" w:pos="8966"/>
              </w:tabs>
              <w:spacing w:after="0" w:line="240" w:lineRule="auto"/>
              <w:ind w:right="1342"/>
              <w:rPr>
                <w:rFonts w:ascii="Calibri" w:hAnsi="Calibri" w:cs="Calibri"/>
                <w:color w:val="FF0000"/>
                <w:sz w:val="32"/>
                <w:szCs w:val="32"/>
                <w:lang w:val="en-GB" w:eastAsia="pl-PL"/>
              </w:rPr>
            </w:pPr>
          </w:p>
          <w:p w14:paraId="3066A2F6" w14:textId="4DA5EC15" w:rsidR="00B01996" w:rsidRPr="00B01996" w:rsidRDefault="00B01996" w:rsidP="00B01996">
            <w:pPr>
              <w:tabs>
                <w:tab w:val="left" w:pos="8966"/>
              </w:tabs>
              <w:spacing w:after="0" w:line="240" w:lineRule="auto"/>
              <w:ind w:right="1342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B01996">
              <w:rPr>
                <w:rFonts w:ascii="Calibri" w:hAnsi="Calibri" w:cs="Calibri"/>
                <w:sz w:val="32"/>
                <w:szCs w:val="32"/>
                <w:lang w:eastAsia="pl-PL"/>
              </w:rPr>
              <w:t>IMPORTANT change in 2025 - the deadline for spending and submitting</w:t>
            </w:r>
            <w:r w:rsidRPr="007571C2">
              <w:rPr>
                <w:rFonts w:ascii="Calibri" w:hAnsi="Calibri" w:cs="Calibri"/>
                <w:sz w:val="32"/>
                <w:szCs w:val="32"/>
                <w:lang w:eastAsia="pl-PL"/>
              </w:rPr>
              <w:t xml:space="preserve"> </w:t>
            </w:r>
            <w:r w:rsidRPr="00B01996">
              <w:rPr>
                <w:rFonts w:ascii="Calibri" w:hAnsi="Calibri" w:cs="Calibri"/>
                <w:sz w:val="32"/>
                <w:szCs w:val="32"/>
                <w:lang w:eastAsia="pl-PL"/>
              </w:rPr>
              <w:t xml:space="preserve">documents confirming the use of funds </w:t>
            </w:r>
            <w:r w:rsidRPr="00B01996">
              <w:rPr>
                <w:rFonts w:ascii="Calibri" w:hAnsi="Calibri" w:cs="Calibri"/>
                <w:sz w:val="32"/>
                <w:szCs w:val="32"/>
                <w:highlight w:val="magenta"/>
                <w:lang w:eastAsia="pl-PL"/>
              </w:rPr>
              <w:t>is 30.09.2025.</w:t>
            </w:r>
          </w:p>
          <w:p w14:paraId="6C868956" w14:textId="77777777" w:rsidR="00B01996" w:rsidRPr="00B01996" w:rsidRDefault="00B01996" w:rsidP="00B01996">
            <w:pPr>
              <w:tabs>
                <w:tab w:val="left" w:pos="8966"/>
              </w:tabs>
              <w:spacing w:after="0" w:line="240" w:lineRule="auto"/>
              <w:ind w:right="1342"/>
              <w:rPr>
                <w:rFonts w:ascii="Calibri" w:hAnsi="Calibri" w:cs="Calibri"/>
                <w:sz w:val="32"/>
                <w:szCs w:val="32"/>
                <w:lang w:eastAsia="pl-PL"/>
              </w:rPr>
            </w:pPr>
          </w:p>
          <w:p w14:paraId="004F9D82" w14:textId="77777777" w:rsidR="00B01996" w:rsidRPr="00B01996" w:rsidRDefault="00B01996" w:rsidP="00B01996">
            <w:pPr>
              <w:tabs>
                <w:tab w:val="left" w:pos="8966"/>
              </w:tabs>
              <w:spacing w:after="0" w:line="240" w:lineRule="auto"/>
              <w:ind w:right="1342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B01996">
              <w:rPr>
                <w:rFonts w:ascii="Calibri" w:hAnsi="Calibri" w:cs="Calibri"/>
                <w:sz w:val="32"/>
                <w:szCs w:val="32"/>
                <w:lang w:eastAsia="pl-PL"/>
              </w:rPr>
              <w:t>After this date, unused funds will be transferred for distribution</w:t>
            </w:r>
          </w:p>
          <w:p w14:paraId="095A420C" w14:textId="77777777" w:rsidR="00B01996" w:rsidRPr="00B01996" w:rsidRDefault="00B01996" w:rsidP="00B01996">
            <w:pPr>
              <w:tabs>
                <w:tab w:val="left" w:pos="8966"/>
              </w:tabs>
              <w:spacing w:after="0" w:line="240" w:lineRule="auto"/>
              <w:ind w:right="1342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B01996">
              <w:rPr>
                <w:rFonts w:ascii="Calibri" w:hAnsi="Calibri" w:cs="Calibri"/>
                <w:sz w:val="32"/>
                <w:szCs w:val="32"/>
                <w:lang w:eastAsia="pl-PL"/>
              </w:rPr>
              <w:t>in the second round.</w:t>
            </w:r>
          </w:p>
          <w:p w14:paraId="66A47437" w14:textId="77777777" w:rsidR="00B01996" w:rsidRPr="00B01996" w:rsidRDefault="00B01996" w:rsidP="00B01996">
            <w:pPr>
              <w:tabs>
                <w:tab w:val="left" w:pos="8966"/>
              </w:tabs>
              <w:spacing w:after="0" w:line="240" w:lineRule="auto"/>
              <w:ind w:right="1342"/>
              <w:rPr>
                <w:rFonts w:ascii="Calibri" w:hAnsi="Calibri" w:cs="Calibri"/>
                <w:sz w:val="32"/>
                <w:szCs w:val="32"/>
                <w:lang w:val="en-US" w:eastAsia="pl-PL"/>
              </w:rPr>
            </w:pPr>
            <w:r w:rsidRPr="00B01996">
              <w:rPr>
                <w:rFonts w:ascii="Calibri" w:hAnsi="Calibri" w:cs="Calibri"/>
                <w:sz w:val="32"/>
                <w:szCs w:val="32"/>
                <w:lang w:eastAsia="pl-PL"/>
              </w:rPr>
              <w:t xml:space="preserve">The deadline for submitting a report on the use of funds in the first round </w:t>
            </w:r>
            <w:r w:rsidRPr="00B01996">
              <w:rPr>
                <w:rFonts w:ascii="Calibri" w:hAnsi="Calibri" w:cs="Calibri"/>
                <w:sz w:val="32"/>
                <w:szCs w:val="32"/>
                <w:highlight w:val="red"/>
                <w:lang w:eastAsia="pl-PL"/>
              </w:rPr>
              <w:t>is 06.10.2025.</w:t>
            </w:r>
          </w:p>
          <w:p w14:paraId="137ECE7A" w14:textId="77777777" w:rsidR="00B01996" w:rsidRPr="00B01996" w:rsidRDefault="00B01996" w:rsidP="009228AF">
            <w:pPr>
              <w:tabs>
                <w:tab w:val="left" w:pos="8966"/>
              </w:tabs>
              <w:spacing w:after="0" w:line="240" w:lineRule="auto"/>
              <w:ind w:right="1342"/>
              <w:rPr>
                <w:rFonts w:ascii="Calibri" w:hAnsi="Calibri" w:cs="Calibri"/>
                <w:color w:val="FF0000"/>
                <w:sz w:val="32"/>
                <w:szCs w:val="32"/>
                <w:lang w:val="en-US" w:eastAsia="pl-PL"/>
              </w:rPr>
            </w:pPr>
          </w:p>
          <w:p w14:paraId="679A8E08" w14:textId="22A5CD08" w:rsidR="00774617" w:rsidRPr="00D81901" w:rsidRDefault="00774617" w:rsidP="009228AF">
            <w:pPr>
              <w:tabs>
                <w:tab w:val="left" w:pos="8966"/>
              </w:tabs>
              <w:spacing w:after="0" w:line="240" w:lineRule="auto"/>
              <w:ind w:right="1484"/>
              <w:rPr>
                <w:rFonts w:ascii="Calibri" w:hAnsi="Calibri" w:cs="Calibri"/>
                <w:color w:val="000000"/>
                <w:lang w:val="en-GB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7AB23" w14:textId="77777777" w:rsidR="00171122" w:rsidRPr="00D81901" w:rsidRDefault="00171122" w:rsidP="009228AF">
            <w:pPr>
              <w:tabs>
                <w:tab w:val="left" w:pos="8966"/>
              </w:tabs>
              <w:rPr>
                <w:rFonts w:ascii="Calibri" w:hAnsi="Calibri" w:cs="Calibri"/>
                <w:color w:val="000000"/>
                <w:lang w:val="en-GB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D3C92" w14:textId="77777777" w:rsidR="00171122" w:rsidRPr="00D81901" w:rsidRDefault="00171122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AB98" w14:textId="77777777" w:rsidR="00171122" w:rsidRPr="00D81901" w:rsidRDefault="00171122" w:rsidP="009228AF">
            <w:pPr>
              <w:tabs>
                <w:tab w:val="left" w:pos="8966"/>
              </w:tabs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B81E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1ED5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933D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87E67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5F6FB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0D28D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3D1E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79631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BE07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BDF6C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</w:tr>
      <w:tr w:rsidR="00171122" w:rsidRPr="00D81901" w14:paraId="6A33C377" w14:textId="77777777" w:rsidTr="009228AF">
        <w:trPr>
          <w:trHeight w:val="315"/>
        </w:trPr>
        <w:tc>
          <w:tcPr>
            <w:tcW w:w="1297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473AD" w14:textId="387B1A16" w:rsidR="00171122" w:rsidRPr="00D81901" w:rsidRDefault="00171122" w:rsidP="009228AF">
            <w:pPr>
              <w:tabs>
                <w:tab w:val="left" w:pos="8966"/>
              </w:tabs>
              <w:ind w:right="3826"/>
              <w:rPr>
                <w:rFonts w:ascii="Calibri" w:hAnsi="Calibri" w:cs="Calibri"/>
                <w:color w:val="000000"/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678EF" w14:textId="77777777" w:rsidR="00171122" w:rsidRPr="00D81901" w:rsidRDefault="00171122" w:rsidP="00171122">
            <w:pPr>
              <w:rPr>
                <w:rFonts w:ascii="Calibri" w:hAnsi="Calibri" w:cs="Calibri"/>
                <w:color w:val="000000"/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A2E6F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4285A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CB7DF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6C22D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FBDB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F3A6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D0124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1BA1E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DC413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7E910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F4B0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BD0BD" w14:textId="77777777" w:rsidR="00171122" w:rsidRPr="00D81901" w:rsidRDefault="00171122" w:rsidP="00171122">
            <w:pPr>
              <w:rPr>
                <w:lang w:val="en-GB" w:eastAsia="pl-PL"/>
              </w:rPr>
            </w:pPr>
          </w:p>
        </w:tc>
      </w:tr>
    </w:tbl>
    <w:p w14:paraId="50745262" w14:textId="7D02CA99" w:rsidR="0022323D" w:rsidRPr="00D81901" w:rsidRDefault="0022323D" w:rsidP="00C54EBC">
      <w:pPr>
        <w:spacing w:after="0" w:line="240" w:lineRule="auto"/>
        <w:rPr>
          <w:rFonts w:ascii="Calibri" w:eastAsia="Times New Roman" w:hAnsi="Calibri" w:cs="Calibri"/>
          <w:color w:val="FF0000"/>
          <w:sz w:val="32"/>
          <w:szCs w:val="32"/>
          <w:u w:val="single"/>
          <w:lang w:val="en-GB" w:eastAsia="pl-PL"/>
        </w:rPr>
      </w:pPr>
    </w:p>
    <w:sectPr w:rsidR="0022323D" w:rsidRPr="00D81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1F924" w14:textId="77777777" w:rsidR="009B0DC0" w:rsidRDefault="009B0DC0" w:rsidP="00D97D9E">
      <w:pPr>
        <w:spacing w:after="0" w:line="240" w:lineRule="auto"/>
      </w:pPr>
      <w:r>
        <w:separator/>
      </w:r>
    </w:p>
  </w:endnote>
  <w:endnote w:type="continuationSeparator" w:id="0">
    <w:p w14:paraId="715BCB88" w14:textId="77777777" w:rsidR="009B0DC0" w:rsidRDefault="009B0DC0" w:rsidP="00D9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31885" w14:textId="77777777" w:rsidR="009B0DC0" w:rsidRDefault="009B0DC0" w:rsidP="00D97D9E">
      <w:pPr>
        <w:spacing w:after="0" w:line="240" w:lineRule="auto"/>
      </w:pPr>
      <w:r>
        <w:separator/>
      </w:r>
    </w:p>
  </w:footnote>
  <w:footnote w:type="continuationSeparator" w:id="0">
    <w:p w14:paraId="64B35245" w14:textId="77777777" w:rsidR="009B0DC0" w:rsidRDefault="009B0DC0" w:rsidP="00D97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250F"/>
    <w:multiLevelType w:val="multilevel"/>
    <w:tmpl w:val="F582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8D2C3A"/>
    <w:multiLevelType w:val="multilevel"/>
    <w:tmpl w:val="E806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6C52BA"/>
    <w:multiLevelType w:val="hybridMultilevel"/>
    <w:tmpl w:val="8BD2A1BC"/>
    <w:lvl w:ilvl="0" w:tplc="4F70ECB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04750"/>
    <w:multiLevelType w:val="multilevel"/>
    <w:tmpl w:val="1A64C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3641574">
    <w:abstractNumId w:val="1"/>
  </w:num>
  <w:num w:numId="2" w16cid:durableId="767888623">
    <w:abstractNumId w:val="3"/>
  </w:num>
  <w:num w:numId="3" w16cid:durableId="760028553">
    <w:abstractNumId w:val="0"/>
  </w:num>
  <w:num w:numId="4" w16cid:durableId="1694721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C7"/>
    <w:rsid w:val="00017E89"/>
    <w:rsid w:val="000215DE"/>
    <w:rsid w:val="000415F6"/>
    <w:rsid w:val="000C7F6B"/>
    <w:rsid w:val="000F147C"/>
    <w:rsid w:val="0010741B"/>
    <w:rsid w:val="00163969"/>
    <w:rsid w:val="00171122"/>
    <w:rsid w:val="001A4DC7"/>
    <w:rsid w:val="001A5C13"/>
    <w:rsid w:val="0022323D"/>
    <w:rsid w:val="002403BF"/>
    <w:rsid w:val="00295325"/>
    <w:rsid w:val="00383E08"/>
    <w:rsid w:val="003C1FBC"/>
    <w:rsid w:val="003E77DF"/>
    <w:rsid w:val="00455630"/>
    <w:rsid w:val="004F64BF"/>
    <w:rsid w:val="005114B9"/>
    <w:rsid w:val="00547600"/>
    <w:rsid w:val="00587817"/>
    <w:rsid w:val="005D46BE"/>
    <w:rsid w:val="00627B7F"/>
    <w:rsid w:val="007571C2"/>
    <w:rsid w:val="00760A0D"/>
    <w:rsid w:val="00774617"/>
    <w:rsid w:val="007B6F57"/>
    <w:rsid w:val="00826F05"/>
    <w:rsid w:val="008C7472"/>
    <w:rsid w:val="00901F8A"/>
    <w:rsid w:val="009228AF"/>
    <w:rsid w:val="009401C2"/>
    <w:rsid w:val="009922EB"/>
    <w:rsid w:val="00992834"/>
    <w:rsid w:val="009B0DC0"/>
    <w:rsid w:val="009E7058"/>
    <w:rsid w:val="00A10AB8"/>
    <w:rsid w:val="00A1563E"/>
    <w:rsid w:val="00A639AD"/>
    <w:rsid w:val="00A65DCD"/>
    <w:rsid w:val="00A746DA"/>
    <w:rsid w:val="00A912BE"/>
    <w:rsid w:val="00A93F2F"/>
    <w:rsid w:val="00B01996"/>
    <w:rsid w:val="00B04069"/>
    <w:rsid w:val="00B131FD"/>
    <w:rsid w:val="00C02490"/>
    <w:rsid w:val="00C34721"/>
    <w:rsid w:val="00C444B4"/>
    <w:rsid w:val="00C54EBC"/>
    <w:rsid w:val="00C947C7"/>
    <w:rsid w:val="00CB0C55"/>
    <w:rsid w:val="00D72952"/>
    <w:rsid w:val="00D81901"/>
    <w:rsid w:val="00D97D9E"/>
    <w:rsid w:val="00DC3B7D"/>
    <w:rsid w:val="00E844FC"/>
    <w:rsid w:val="00E86E96"/>
    <w:rsid w:val="00EC3AAD"/>
    <w:rsid w:val="00EF3B3D"/>
    <w:rsid w:val="00EF79C7"/>
    <w:rsid w:val="00F10517"/>
    <w:rsid w:val="00FB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EF78"/>
  <w15:chartTrackingRefBased/>
  <w15:docId w15:val="{1FF5F532-3415-495D-A267-0E6088AB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74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7D9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97D9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7D9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7D9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7D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m.usz.edu.pl/wp-content/uploads/Zarz%C4%85dzenie-112.2020-Rektora-U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m.usz.edu.pl/sluzbowe-wyjazdy-zagraniczn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ranty.szkola.doktorska@usz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sm.usz.edu.pl/wp-content/uploads/Rozporz%C4%85dzenie-Ministra-Rodziny-i-Polityki-Spo%C5%82ecznej-NOWE-STAWKI-DIET-ZAGRANICZNYCH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1239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Baranowska</dc:creator>
  <cp:keywords/>
  <dc:description/>
  <cp:lastModifiedBy>Małgorzata Szewczyk</cp:lastModifiedBy>
  <cp:revision>3</cp:revision>
  <cp:lastPrinted>2023-03-17T07:16:00Z</cp:lastPrinted>
  <dcterms:created xsi:type="dcterms:W3CDTF">2025-06-11T06:42:00Z</dcterms:created>
  <dcterms:modified xsi:type="dcterms:W3CDTF">2025-06-11T06:42:00Z</dcterms:modified>
</cp:coreProperties>
</file>