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D4863" w14:textId="4291C997" w:rsidR="00F25D1A" w:rsidRDefault="00F25D1A" w:rsidP="00F25D1A">
      <w:pPr>
        <w:spacing w:line="276" w:lineRule="auto"/>
        <w:jc w:val="center"/>
      </w:pPr>
      <w:r>
        <w:t xml:space="preserve">ORDER NO. </w:t>
      </w:r>
      <w:r w:rsidR="005C102E">
        <w:t>11</w:t>
      </w:r>
      <w:r>
        <w:t>/202</w:t>
      </w:r>
      <w:r w:rsidR="005C102E">
        <w:t>6</w:t>
      </w:r>
    </w:p>
    <w:p w14:paraId="261F019E" w14:textId="77777777" w:rsidR="00F25D1A" w:rsidRDefault="00F25D1A" w:rsidP="00F25D1A">
      <w:pPr>
        <w:spacing w:line="276" w:lineRule="auto"/>
        <w:jc w:val="center"/>
      </w:pPr>
    </w:p>
    <w:p w14:paraId="0E8DC36C" w14:textId="77777777" w:rsidR="00F25D1A" w:rsidRDefault="00F25D1A" w:rsidP="00F25D1A">
      <w:pPr>
        <w:spacing w:line="276" w:lineRule="auto"/>
        <w:jc w:val="center"/>
      </w:pPr>
      <w:r>
        <w:t>OF THE RECTOR OF THE UNIVERSITY OF SZCZECIN</w:t>
      </w:r>
    </w:p>
    <w:p w14:paraId="68A84D4C" w14:textId="77777777" w:rsidR="00F25D1A" w:rsidRDefault="00F25D1A" w:rsidP="00F25D1A">
      <w:pPr>
        <w:spacing w:line="276" w:lineRule="auto"/>
        <w:jc w:val="center"/>
      </w:pPr>
    </w:p>
    <w:p w14:paraId="6F8EC279" w14:textId="377A8E3D" w:rsidR="00F25D1A" w:rsidRDefault="00F25D1A" w:rsidP="00F25D1A">
      <w:pPr>
        <w:spacing w:line="276" w:lineRule="auto"/>
        <w:jc w:val="center"/>
      </w:pPr>
      <w:r>
        <w:t xml:space="preserve">of </w:t>
      </w:r>
      <w:r w:rsidR="005C102E">
        <w:t>10</w:t>
      </w:r>
      <w:r>
        <w:t xml:space="preserve"> February 202</w:t>
      </w:r>
      <w:r w:rsidR="005C102E">
        <w:t>6</w:t>
      </w:r>
    </w:p>
    <w:p w14:paraId="52C79DA8" w14:textId="77777777" w:rsidR="00F25D1A" w:rsidRDefault="00F25D1A" w:rsidP="00F25D1A">
      <w:pPr>
        <w:spacing w:line="276" w:lineRule="auto"/>
        <w:jc w:val="center"/>
      </w:pPr>
    </w:p>
    <w:p w14:paraId="7213ADC1" w14:textId="77777777" w:rsidR="00F25D1A" w:rsidRDefault="00F25D1A" w:rsidP="00F25D1A">
      <w:pPr>
        <w:spacing w:line="276" w:lineRule="auto"/>
        <w:jc w:val="center"/>
      </w:pPr>
    </w:p>
    <w:p w14:paraId="4EF8200E" w14:textId="6CF4454E" w:rsidR="00F25D1A" w:rsidRDefault="00F25D1A" w:rsidP="00F25D1A">
      <w:pPr>
        <w:spacing w:line="276" w:lineRule="auto"/>
        <w:jc w:val="center"/>
      </w:pPr>
      <w:r>
        <w:t>on the amount and procedure for remunerating individuals participating in activities related to the competition procedure for admission to the Doctoral School of the University of Szczecin</w:t>
      </w:r>
    </w:p>
    <w:p w14:paraId="1FF293C0" w14:textId="102E7361" w:rsidR="00F25D1A" w:rsidRDefault="00F25D1A" w:rsidP="00F25D1A">
      <w:pPr>
        <w:spacing w:line="276" w:lineRule="auto"/>
        <w:jc w:val="center"/>
      </w:pPr>
      <w:r>
        <w:t xml:space="preserve">for the </w:t>
      </w:r>
      <w:r w:rsidR="005C102E">
        <w:t xml:space="preserve">academic year </w:t>
      </w:r>
      <w:r>
        <w:t>202</w:t>
      </w:r>
      <w:r w:rsidR="005C102E">
        <w:t>6</w:t>
      </w:r>
      <w:r>
        <w:t>/202</w:t>
      </w:r>
      <w:r w:rsidR="005C102E">
        <w:t>7</w:t>
      </w:r>
      <w:r>
        <w:t xml:space="preserve"> </w:t>
      </w:r>
    </w:p>
    <w:p w14:paraId="381AFE59" w14:textId="77777777" w:rsidR="00F25D1A" w:rsidRDefault="00F25D1A" w:rsidP="00F25D1A">
      <w:pPr>
        <w:spacing w:line="276" w:lineRule="auto"/>
      </w:pPr>
    </w:p>
    <w:p w14:paraId="5C961109" w14:textId="77777777" w:rsidR="00F25D1A" w:rsidRDefault="00F25D1A" w:rsidP="00F25D1A">
      <w:pPr>
        <w:spacing w:line="276" w:lineRule="auto"/>
        <w:jc w:val="both"/>
      </w:pPr>
    </w:p>
    <w:p w14:paraId="7E9C6EC0" w14:textId="580E945F" w:rsidR="00F25D1A" w:rsidRDefault="00F25D1A" w:rsidP="00F25D1A">
      <w:pPr>
        <w:spacing w:line="276" w:lineRule="auto"/>
        <w:jc w:val="both"/>
      </w:pPr>
      <w:r>
        <w:t xml:space="preserve">Pursuant to Article 23(2)(2) of the Act of 20 July 2018 – Law on Higher Education and Science (Journal of Laws 2024, item 1571, as amended) </w:t>
      </w:r>
      <w:r w:rsidR="00A64260" w:rsidRPr="00A64260">
        <w:t xml:space="preserve">and § 13(20) of Resolution No. 81/2025 of the Senate of the University of Szczecin of 27 November 2025 </w:t>
      </w:r>
      <w:r w:rsidR="00DC2D81" w:rsidRPr="00DC2D81">
        <w:t>on determining the recruitment rules, qualification criteria, admission limits and recruitment schedule for the Doctoral School of the University of Szczecin for education starting in the academic year 2026/2027</w:t>
      </w:r>
      <w:r w:rsidR="00A64260" w:rsidRPr="00A64260">
        <w:t xml:space="preserve">, </w:t>
      </w:r>
      <w:r w:rsidRPr="005D11E2">
        <w:t>it is ordered as follows</w:t>
      </w:r>
      <w:r>
        <w:t>:</w:t>
      </w:r>
    </w:p>
    <w:p w14:paraId="1E59CBAF" w14:textId="77777777" w:rsidR="00F25D1A" w:rsidRDefault="00F25D1A" w:rsidP="00F25D1A">
      <w:pPr>
        <w:spacing w:line="276" w:lineRule="auto"/>
      </w:pPr>
    </w:p>
    <w:p w14:paraId="5251B475" w14:textId="336755F8" w:rsidR="00F25D1A" w:rsidRPr="00F25D1A" w:rsidRDefault="00F25D1A" w:rsidP="00F25D1A">
      <w:pPr>
        <w:spacing w:line="276" w:lineRule="auto"/>
        <w:jc w:val="center"/>
        <w:rPr>
          <w:b/>
          <w:bCs/>
        </w:rPr>
      </w:pPr>
      <w:r w:rsidRPr="00F25D1A">
        <w:rPr>
          <w:b/>
          <w:bCs/>
        </w:rPr>
        <w:t>§ 1.</w:t>
      </w:r>
    </w:p>
    <w:p w14:paraId="2384DE52" w14:textId="77777777" w:rsidR="00F25D1A" w:rsidRDefault="00F25D1A" w:rsidP="00F25D1A">
      <w:pPr>
        <w:spacing w:line="276" w:lineRule="auto"/>
      </w:pPr>
    </w:p>
    <w:p w14:paraId="3B51C642" w14:textId="2304B5A8" w:rsidR="00F25D1A" w:rsidRDefault="00F25D1A" w:rsidP="00F25D1A">
      <w:pPr>
        <w:spacing w:line="276" w:lineRule="auto"/>
        <w:jc w:val="both"/>
      </w:pPr>
      <w:r>
        <w:t xml:space="preserve">The remuneration for individuals participating in activities related to the competition procedure for admission to the Doctoral School of the University of Szczecin for the </w:t>
      </w:r>
      <w:r w:rsidR="00755043">
        <w:t xml:space="preserve">academic year </w:t>
      </w:r>
      <w:r>
        <w:t>202</w:t>
      </w:r>
      <w:r w:rsidR="00755043">
        <w:t>6</w:t>
      </w:r>
      <w:r>
        <w:t>/202</w:t>
      </w:r>
      <w:r w:rsidR="00755043">
        <w:t>7</w:t>
      </w:r>
      <w:r>
        <w:t>, hereinafter referred to as "remuneration," is established as follows:</w:t>
      </w:r>
    </w:p>
    <w:p w14:paraId="7CA61C33" w14:textId="50E4997F" w:rsidR="00F25D1A" w:rsidRDefault="00F25D1A" w:rsidP="00F25D1A">
      <w:pPr>
        <w:pStyle w:val="Akapitzlist"/>
        <w:numPr>
          <w:ilvl w:val="0"/>
          <w:numId w:val="1"/>
        </w:numPr>
        <w:spacing w:line="276" w:lineRule="auto"/>
        <w:jc w:val="both"/>
      </w:pPr>
      <w:r>
        <w:t>Chairperson of the Competition Committee – 1,</w:t>
      </w:r>
      <w:r w:rsidR="00755043">
        <w:t>250</w:t>
      </w:r>
      <w:r>
        <w:t>.00 PLN per month; remuneration is paid for the period from May to September 202</w:t>
      </w:r>
      <w:r w:rsidR="00755043">
        <w:t>6</w:t>
      </w:r>
      <w:r>
        <w:t>.</w:t>
      </w:r>
    </w:p>
    <w:p w14:paraId="0B94DAA0" w14:textId="0A540552" w:rsidR="00F25D1A" w:rsidRDefault="00F25D1A" w:rsidP="00F25D1A">
      <w:pPr>
        <w:pStyle w:val="Akapitzlist"/>
        <w:numPr>
          <w:ilvl w:val="0"/>
          <w:numId w:val="1"/>
        </w:numPr>
        <w:spacing w:line="276" w:lineRule="auto"/>
        <w:jc w:val="both"/>
      </w:pPr>
      <w:r>
        <w:t xml:space="preserve">Deputy Chairperson of the Competition Committee – </w:t>
      </w:r>
      <w:r w:rsidR="00DF00E2">
        <w:t>1200</w:t>
      </w:r>
      <w:r>
        <w:t>.00 PLN per month; remuneration is paid for the period from May to September 202</w:t>
      </w:r>
      <w:r w:rsidR="00DF00E2">
        <w:t>6</w:t>
      </w:r>
      <w:r>
        <w:t>.</w:t>
      </w:r>
    </w:p>
    <w:p w14:paraId="6893D69B" w14:textId="09207C9A" w:rsidR="00F25D1A" w:rsidRDefault="00F25D1A" w:rsidP="00F25D1A">
      <w:pPr>
        <w:pStyle w:val="Akapitzlist"/>
        <w:numPr>
          <w:ilvl w:val="0"/>
          <w:numId w:val="1"/>
        </w:numPr>
        <w:spacing w:line="276" w:lineRule="auto"/>
        <w:jc w:val="both"/>
      </w:pPr>
      <w:r>
        <w:t xml:space="preserve">Member of the Competition Committee – </w:t>
      </w:r>
      <w:r w:rsidR="00DF00E2">
        <w:t>100</w:t>
      </w:r>
      <w:r>
        <w:t>.00 PLN per interview with a candidate</w:t>
      </w:r>
      <w:r w:rsidR="006F17BC">
        <w:t xml:space="preserve"> </w:t>
      </w:r>
      <w:r w:rsidR="00D83817" w:rsidRPr="00D83817">
        <w:t xml:space="preserve">and for participation in a meeting of the </w:t>
      </w:r>
      <w:r w:rsidR="00D83817">
        <w:t>competition</w:t>
      </w:r>
      <w:r w:rsidR="00D83817" w:rsidRPr="00D83817">
        <w:t xml:space="preserve"> </w:t>
      </w:r>
      <w:r w:rsidR="00D83817">
        <w:t>team</w:t>
      </w:r>
      <w:r w:rsidR="00D83817" w:rsidRPr="00D83817">
        <w:t xml:space="preserve"> convened to consider the candidate’s objections</w:t>
      </w:r>
      <w:r>
        <w:t xml:space="preserve">; </w:t>
      </w:r>
      <w:r w:rsidR="00D51ED3">
        <w:t>t</w:t>
      </w:r>
      <w:r w:rsidR="00D51ED3" w:rsidRPr="00D51ED3">
        <w:t>he remuneration is calculated based on the number of interviews conducted with candidates and the number of attendances at meetings convened to consider objections; the remuneration is paid as a one-time payment, no later than 31 December 2026, for activities performed in the period from May to September 2026.</w:t>
      </w:r>
    </w:p>
    <w:p w14:paraId="0A9CF824" w14:textId="742671CE" w:rsidR="00F25D1A" w:rsidRDefault="00F25D1A" w:rsidP="00F25D1A">
      <w:pPr>
        <w:pStyle w:val="Akapitzlist"/>
        <w:numPr>
          <w:ilvl w:val="0"/>
          <w:numId w:val="1"/>
        </w:numPr>
        <w:spacing w:line="276" w:lineRule="auto"/>
        <w:jc w:val="both"/>
      </w:pPr>
      <w:r>
        <w:t>Member of the Competition Team – 1</w:t>
      </w:r>
      <w:r w:rsidR="001C457D">
        <w:t>1</w:t>
      </w:r>
      <w:r>
        <w:t xml:space="preserve">0.00 PLN </w:t>
      </w:r>
      <w:r w:rsidR="00394EDE">
        <w:t xml:space="preserve">per interview with a candidate </w:t>
      </w:r>
      <w:r w:rsidR="00394EDE" w:rsidRPr="00D83817">
        <w:t xml:space="preserve">and for participation in a meeting of the </w:t>
      </w:r>
      <w:r w:rsidR="00394EDE">
        <w:t>competition</w:t>
      </w:r>
      <w:r w:rsidR="00394EDE" w:rsidRPr="00D83817">
        <w:t xml:space="preserve"> </w:t>
      </w:r>
      <w:r w:rsidR="00394EDE">
        <w:t>team</w:t>
      </w:r>
      <w:r w:rsidR="00394EDE" w:rsidRPr="00D83817">
        <w:t xml:space="preserve"> convened to consider the candidate’s objections</w:t>
      </w:r>
      <w:r w:rsidR="00394EDE">
        <w:t>; t</w:t>
      </w:r>
      <w:r w:rsidR="00394EDE" w:rsidRPr="00D51ED3">
        <w:t>he remuneration is calculated based on the number of interviews conducted with candidates and the number of attendances at meetings convened to consider objections; the remuneration is paid as a one-time payment, no later than 31 December 2026, for activities performed in the period from May to September 2026</w:t>
      </w:r>
      <w:r>
        <w:t>.</w:t>
      </w:r>
    </w:p>
    <w:p w14:paraId="42E82BE9" w14:textId="2AB7A8D2" w:rsidR="00F25D1A" w:rsidRDefault="00F25D1A" w:rsidP="00F25D1A">
      <w:pPr>
        <w:pStyle w:val="Akapitzlist"/>
        <w:numPr>
          <w:ilvl w:val="0"/>
          <w:numId w:val="1"/>
        </w:numPr>
        <w:spacing w:line="276" w:lineRule="auto"/>
        <w:jc w:val="both"/>
      </w:pPr>
      <w:r>
        <w:t xml:space="preserve">Secretary of the Competition Committee – </w:t>
      </w:r>
      <w:r w:rsidR="00394EDE">
        <w:t>1020</w:t>
      </w:r>
      <w:r>
        <w:t>.00 PLN per month; remuneration is paid for the period from May to September 202</w:t>
      </w:r>
      <w:r w:rsidR="00394EDE">
        <w:t>6</w:t>
      </w:r>
      <w:r>
        <w:t>.</w:t>
      </w:r>
    </w:p>
    <w:p w14:paraId="5FE95146" w14:textId="427A66E0" w:rsidR="00F25D1A" w:rsidRDefault="00F25D1A" w:rsidP="00F25D1A">
      <w:pPr>
        <w:pStyle w:val="Akapitzlist"/>
        <w:numPr>
          <w:ilvl w:val="0"/>
          <w:numId w:val="1"/>
        </w:numPr>
        <w:spacing w:line="276" w:lineRule="auto"/>
        <w:jc w:val="both"/>
      </w:pPr>
      <w:r>
        <w:lastRenderedPageBreak/>
        <w:t xml:space="preserve">Coordinator of the </w:t>
      </w:r>
      <w:r w:rsidR="0001354A">
        <w:t>Electronic</w:t>
      </w:r>
      <w:r>
        <w:t xml:space="preserve"> Candidate Registration System and activities related to the competition procedure – 1,1</w:t>
      </w:r>
      <w:r w:rsidR="0001354A">
        <w:t>90</w:t>
      </w:r>
      <w:r>
        <w:t>.00 PLN per month; remuneration is paid for the period from May to September 202</w:t>
      </w:r>
      <w:r w:rsidR="0001354A">
        <w:t>6</w:t>
      </w:r>
      <w:r>
        <w:t>.</w:t>
      </w:r>
    </w:p>
    <w:p w14:paraId="14DFDD26" w14:textId="77777777" w:rsidR="00F25D1A" w:rsidRDefault="00F25D1A" w:rsidP="00F25D1A">
      <w:pPr>
        <w:spacing w:line="276" w:lineRule="auto"/>
      </w:pPr>
    </w:p>
    <w:p w14:paraId="6B33B1CD" w14:textId="77777777" w:rsidR="00F25D1A" w:rsidRDefault="00F25D1A" w:rsidP="00F25D1A">
      <w:pPr>
        <w:spacing w:line="276" w:lineRule="auto"/>
        <w:jc w:val="center"/>
        <w:rPr>
          <w:b/>
          <w:bCs/>
        </w:rPr>
      </w:pPr>
      <w:r w:rsidRPr="00F25D1A">
        <w:rPr>
          <w:b/>
          <w:bCs/>
        </w:rPr>
        <w:t>§ 2.</w:t>
      </w:r>
    </w:p>
    <w:p w14:paraId="7BC11DA6" w14:textId="77777777" w:rsidR="008500E5" w:rsidRDefault="008500E5" w:rsidP="00F25D1A">
      <w:pPr>
        <w:spacing w:line="276" w:lineRule="auto"/>
        <w:jc w:val="center"/>
        <w:rPr>
          <w:b/>
          <w:bCs/>
        </w:rPr>
      </w:pPr>
    </w:p>
    <w:p w14:paraId="76007F6C" w14:textId="257D7793" w:rsidR="008500E5" w:rsidRPr="008500E5" w:rsidRDefault="00AD59C7" w:rsidP="008500E5">
      <w:pPr>
        <w:spacing w:line="276" w:lineRule="auto"/>
        <w:jc w:val="both"/>
      </w:pPr>
      <w:r w:rsidRPr="00AD59C7">
        <w:t xml:space="preserve">If the </w:t>
      </w:r>
      <w:r>
        <w:t>individuals</w:t>
      </w:r>
      <w:r w:rsidRPr="00AD59C7">
        <w:t xml:space="preserve"> referred to in § 1</w:t>
      </w:r>
      <w:r>
        <w:t>(</w:t>
      </w:r>
      <w:r w:rsidRPr="00AD59C7">
        <w:t>3</w:t>
      </w:r>
      <w:r>
        <w:t>)</w:t>
      </w:r>
      <w:r w:rsidRPr="00AD59C7">
        <w:t xml:space="preserve"> and </w:t>
      </w:r>
      <w:r>
        <w:t>(</w:t>
      </w:r>
      <w:r w:rsidRPr="00AD59C7">
        <w:t>4</w:t>
      </w:r>
      <w:r>
        <w:t>)</w:t>
      </w:r>
      <w:r w:rsidRPr="00AD59C7">
        <w:t xml:space="preserve"> perform activities falling within the scope of the </w:t>
      </w:r>
      <w:r>
        <w:t>competition</w:t>
      </w:r>
      <w:r w:rsidRPr="00AD59C7">
        <w:t xml:space="preserve"> procedure, in particular interviews with candidates or meetings of </w:t>
      </w:r>
      <w:r w:rsidR="00EE6464">
        <w:t>competition teams</w:t>
      </w:r>
      <w:r w:rsidRPr="00AD59C7">
        <w:t xml:space="preserve"> convened to consider a candidate’s objections, after the period referred to in § 1</w:t>
      </w:r>
      <w:r w:rsidR="00EE6464">
        <w:t>(</w:t>
      </w:r>
      <w:r w:rsidRPr="00AD59C7">
        <w:t>3</w:t>
      </w:r>
      <w:r w:rsidR="00EE6464">
        <w:t>)</w:t>
      </w:r>
      <w:r w:rsidRPr="00AD59C7">
        <w:t xml:space="preserve"> and </w:t>
      </w:r>
      <w:r w:rsidR="00EE6464">
        <w:t>(</w:t>
      </w:r>
      <w:r w:rsidRPr="00AD59C7">
        <w:t>4</w:t>
      </w:r>
      <w:r w:rsidR="00EE6464">
        <w:t>)</w:t>
      </w:r>
      <w:r w:rsidRPr="00AD59C7">
        <w:t xml:space="preserve">, they </w:t>
      </w:r>
      <w:r w:rsidR="00EE6464">
        <w:t>are</w:t>
      </w:r>
      <w:r w:rsidRPr="00AD59C7">
        <w:t xml:space="preserve"> also </w:t>
      </w:r>
      <w:r w:rsidR="00EE6464">
        <w:t>e</w:t>
      </w:r>
      <w:r w:rsidRPr="00AD59C7">
        <w:t xml:space="preserve">ntitled to remuneration for performing such activities after that period. The remuneration </w:t>
      </w:r>
      <w:r w:rsidR="00826950">
        <w:t>is</w:t>
      </w:r>
      <w:r w:rsidRPr="00AD59C7">
        <w:t xml:space="preserve"> paid after the performance of the activities, in accordance with the rates specified in § 1</w:t>
      </w:r>
      <w:r w:rsidR="00826950">
        <w:t>(</w:t>
      </w:r>
      <w:r w:rsidRPr="00AD59C7">
        <w:t>3</w:t>
      </w:r>
      <w:r w:rsidR="00826950">
        <w:t>)</w:t>
      </w:r>
      <w:r w:rsidRPr="00AD59C7">
        <w:t xml:space="preserve"> and </w:t>
      </w:r>
      <w:r w:rsidR="00826950">
        <w:t>(</w:t>
      </w:r>
      <w:r w:rsidRPr="00AD59C7">
        <w:t>4</w:t>
      </w:r>
      <w:r w:rsidR="00826950">
        <w:t>)</w:t>
      </w:r>
      <w:r w:rsidRPr="00AD59C7">
        <w:t>.</w:t>
      </w:r>
    </w:p>
    <w:p w14:paraId="0B0FB018" w14:textId="77777777" w:rsidR="008500E5" w:rsidRDefault="008500E5" w:rsidP="00F25D1A">
      <w:pPr>
        <w:spacing w:line="276" w:lineRule="auto"/>
        <w:jc w:val="center"/>
        <w:rPr>
          <w:b/>
          <w:bCs/>
        </w:rPr>
      </w:pPr>
    </w:p>
    <w:p w14:paraId="31DA7A3D" w14:textId="22D3D70D" w:rsidR="008500E5" w:rsidRPr="00F25D1A" w:rsidRDefault="008500E5" w:rsidP="008500E5">
      <w:pPr>
        <w:spacing w:line="276" w:lineRule="auto"/>
        <w:jc w:val="center"/>
        <w:rPr>
          <w:b/>
          <w:bCs/>
        </w:rPr>
      </w:pPr>
      <w:r w:rsidRPr="00F25D1A">
        <w:rPr>
          <w:b/>
          <w:bCs/>
        </w:rPr>
        <w:t xml:space="preserve">§ </w:t>
      </w:r>
      <w:r>
        <w:rPr>
          <w:b/>
          <w:bCs/>
        </w:rPr>
        <w:t>3</w:t>
      </w:r>
      <w:r w:rsidRPr="00F25D1A">
        <w:rPr>
          <w:b/>
          <w:bCs/>
        </w:rPr>
        <w:t>.</w:t>
      </w:r>
    </w:p>
    <w:p w14:paraId="3938EBC0" w14:textId="77777777" w:rsidR="00F25D1A" w:rsidRDefault="00F25D1A" w:rsidP="00F25D1A">
      <w:pPr>
        <w:spacing w:line="276" w:lineRule="auto"/>
      </w:pPr>
    </w:p>
    <w:p w14:paraId="57B8FC57" w14:textId="30136B3E" w:rsidR="00F25D1A" w:rsidRDefault="00F25D1A" w:rsidP="00F25D1A">
      <w:pPr>
        <w:pStyle w:val="Akapitzlist"/>
        <w:numPr>
          <w:ilvl w:val="0"/>
          <w:numId w:val="2"/>
        </w:numPr>
        <w:spacing w:line="276" w:lineRule="auto"/>
        <w:ind w:left="284" w:hanging="284"/>
        <w:jc w:val="both"/>
      </w:pPr>
      <w:r>
        <w:t>The remuneration for employees of the University of Szczecin who are academic teachers is paid in the form of additional remuneration, while for employees of the University of Szczecin who are not academic teachers, it is paid in the form of a task-based allowance.</w:t>
      </w:r>
    </w:p>
    <w:p w14:paraId="36D2E9AE" w14:textId="77777777" w:rsidR="009A305E" w:rsidRDefault="00F25D1A" w:rsidP="009A305E">
      <w:pPr>
        <w:pStyle w:val="Akapitzlist"/>
        <w:numPr>
          <w:ilvl w:val="0"/>
          <w:numId w:val="2"/>
        </w:numPr>
        <w:spacing w:line="276" w:lineRule="auto"/>
        <w:ind w:left="284" w:hanging="284"/>
        <w:jc w:val="both"/>
      </w:pPr>
      <w:r>
        <w:t xml:space="preserve">The remuneration specified in § 1 </w:t>
      </w:r>
      <w:r w:rsidR="00430BA1">
        <w:t xml:space="preserve">of this order </w:t>
      </w:r>
      <w:r>
        <w:t>is paid to the employee after the completion of tasks within the scope of assigned duties arising from their function.</w:t>
      </w:r>
      <w:r w:rsidR="009A305E" w:rsidRPr="009A305E">
        <w:t xml:space="preserve"> </w:t>
      </w:r>
    </w:p>
    <w:p w14:paraId="437283B6" w14:textId="23F3598C" w:rsidR="00F25D1A" w:rsidRDefault="009A305E" w:rsidP="009A305E">
      <w:pPr>
        <w:pStyle w:val="Akapitzlist"/>
        <w:numPr>
          <w:ilvl w:val="0"/>
          <w:numId w:val="2"/>
        </w:numPr>
        <w:spacing w:line="276" w:lineRule="auto"/>
        <w:ind w:left="284" w:hanging="284"/>
        <w:jc w:val="both"/>
      </w:pPr>
      <w:r>
        <w:t>The remuneration referred to in § 1(3) and (4) of this order is paid according to the payroll schedule for the respective group of employees of the University of Szczecin.</w:t>
      </w:r>
    </w:p>
    <w:p w14:paraId="1B33C68B" w14:textId="77777777" w:rsidR="00F25D1A" w:rsidRDefault="00F25D1A" w:rsidP="00F25D1A">
      <w:pPr>
        <w:spacing w:line="276" w:lineRule="auto"/>
      </w:pPr>
    </w:p>
    <w:p w14:paraId="2C548BC7" w14:textId="4353109D" w:rsidR="00F25D1A" w:rsidRPr="00F25D1A" w:rsidRDefault="00F25D1A" w:rsidP="00F25D1A">
      <w:pPr>
        <w:spacing w:line="276" w:lineRule="auto"/>
        <w:jc w:val="center"/>
        <w:rPr>
          <w:b/>
          <w:bCs/>
        </w:rPr>
      </w:pPr>
      <w:r w:rsidRPr="00F25D1A">
        <w:rPr>
          <w:b/>
          <w:bCs/>
        </w:rPr>
        <w:t xml:space="preserve">§ </w:t>
      </w:r>
      <w:r w:rsidR="008500E5">
        <w:rPr>
          <w:b/>
          <w:bCs/>
        </w:rPr>
        <w:t>4</w:t>
      </w:r>
      <w:r w:rsidRPr="00F25D1A">
        <w:rPr>
          <w:b/>
          <w:bCs/>
        </w:rPr>
        <w:t>.</w:t>
      </w:r>
    </w:p>
    <w:p w14:paraId="42831D7F" w14:textId="77777777" w:rsidR="00F25D1A" w:rsidRDefault="00F25D1A" w:rsidP="00F25D1A">
      <w:pPr>
        <w:spacing w:line="276" w:lineRule="auto"/>
      </w:pPr>
    </w:p>
    <w:p w14:paraId="3B0F6090" w14:textId="7D210A79" w:rsidR="00F25D1A" w:rsidRDefault="00F25D1A" w:rsidP="00F25D1A">
      <w:pPr>
        <w:pStyle w:val="Akapitzlist"/>
        <w:numPr>
          <w:ilvl w:val="0"/>
          <w:numId w:val="3"/>
        </w:numPr>
        <w:spacing w:line="276" w:lineRule="auto"/>
        <w:ind w:left="284" w:hanging="284"/>
        <w:jc w:val="both"/>
      </w:pPr>
      <w:r>
        <w:t>The Director of the Doctoral School of the University of Szczecin prepares a request for the payment of additional remuneration (Annex No. 1) or a task-based allowance (Annex No. 2) for the employees referred to in § 1, specifying the amount due in accordance with the amounts set forth in § 1.</w:t>
      </w:r>
    </w:p>
    <w:p w14:paraId="57F83C78" w14:textId="7587431A" w:rsidR="00F25D1A" w:rsidRDefault="00F25D1A" w:rsidP="00F25D1A">
      <w:pPr>
        <w:pStyle w:val="Akapitzlist"/>
        <w:numPr>
          <w:ilvl w:val="0"/>
          <w:numId w:val="3"/>
        </w:numPr>
        <w:spacing w:line="276" w:lineRule="auto"/>
        <w:ind w:left="284" w:hanging="284"/>
        <w:jc w:val="both"/>
      </w:pPr>
      <w:r>
        <w:t>The request for the payment of a task-based allowance must be confirmed by an employee of the Human Resources Department, ensuring that the total requested task-based allowance, together with other received task-based allowances, does not exceed 80% of the sum of the employee's base salary and functional allowance.</w:t>
      </w:r>
    </w:p>
    <w:p w14:paraId="22AC164D" w14:textId="07CB39AE" w:rsidR="00F25D1A" w:rsidRDefault="00F25D1A" w:rsidP="00F25D1A">
      <w:pPr>
        <w:pStyle w:val="Akapitzlist"/>
        <w:numPr>
          <w:ilvl w:val="0"/>
          <w:numId w:val="3"/>
        </w:numPr>
        <w:spacing w:line="276" w:lineRule="auto"/>
        <w:ind w:left="284" w:hanging="284"/>
        <w:jc w:val="both"/>
      </w:pPr>
      <w:r>
        <w:t>The decision on the payment of additional remuneration or a task-based allowance for individuals participating in activities related to the competition procedure for admission to the Doctoral School of the University of Szczecin is made by the Rector.</w:t>
      </w:r>
    </w:p>
    <w:p w14:paraId="3AF5FFB5" w14:textId="77777777" w:rsidR="0002493D" w:rsidRDefault="0002493D" w:rsidP="00F25D1A">
      <w:pPr>
        <w:spacing w:line="276" w:lineRule="auto"/>
      </w:pPr>
    </w:p>
    <w:p w14:paraId="7B65A383" w14:textId="7F675A09" w:rsidR="007A4C47" w:rsidRDefault="00F25D1A" w:rsidP="0002493D">
      <w:pPr>
        <w:spacing w:line="276" w:lineRule="auto"/>
        <w:jc w:val="center"/>
        <w:rPr>
          <w:b/>
          <w:bCs/>
        </w:rPr>
      </w:pPr>
      <w:r w:rsidRPr="0002493D">
        <w:rPr>
          <w:b/>
          <w:bCs/>
        </w:rPr>
        <w:t>§ 5.</w:t>
      </w:r>
    </w:p>
    <w:p w14:paraId="65E28F03" w14:textId="77777777" w:rsidR="0002493D" w:rsidRDefault="0002493D" w:rsidP="0002493D">
      <w:pPr>
        <w:spacing w:line="276" w:lineRule="auto"/>
        <w:jc w:val="center"/>
        <w:rPr>
          <w:b/>
          <w:bCs/>
        </w:rPr>
      </w:pPr>
    </w:p>
    <w:p w14:paraId="7DB9F137" w14:textId="209643FC" w:rsidR="0002493D" w:rsidRDefault="0002493D" w:rsidP="0002493D">
      <w:pPr>
        <w:spacing w:line="276" w:lineRule="auto"/>
      </w:pPr>
      <w:r w:rsidRPr="0043262D">
        <w:t>The ord</w:t>
      </w:r>
      <w:r>
        <w:t>er</w:t>
      </w:r>
      <w:r w:rsidRPr="0043262D">
        <w:t xml:space="preserve"> enters into force on the date of its signing</w:t>
      </w:r>
      <w:r w:rsidRPr="00231EFD">
        <w:t>.</w:t>
      </w:r>
    </w:p>
    <w:p w14:paraId="40CCCFC7" w14:textId="77777777" w:rsidR="00EE1933" w:rsidRDefault="00EE1933" w:rsidP="0002493D">
      <w:pPr>
        <w:spacing w:line="276" w:lineRule="auto"/>
      </w:pPr>
    </w:p>
    <w:p w14:paraId="601DACF4" w14:textId="0BBF95F2" w:rsidR="0002493D" w:rsidRPr="0002493D" w:rsidRDefault="0002493D" w:rsidP="00A24625">
      <w:pPr>
        <w:spacing w:line="276" w:lineRule="auto"/>
        <w:ind w:left="4320"/>
        <w:jc w:val="center"/>
        <w:rPr>
          <w:b/>
          <w:bCs/>
        </w:rPr>
      </w:pPr>
      <w:r w:rsidRPr="00231EFD">
        <w:t xml:space="preserve">Prof. </w:t>
      </w:r>
      <w:r>
        <w:t>d</w:t>
      </w:r>
      <w:r w:rsidRPr="00231EFD">
        <w:t>r hab. Waldemar Tarczyński</w:t>
      </w:r>
      <w:r w:rsidRPr="00231EFD">
        <w:br/>
        <w:t>Rector of the University of Szczecin</w:t>
      </w:r>
      <w:r w:rsidRPr="00231EFD">
        <w:br/>
        <w:t>/signed with a qualified electronic signature/</w:t>
      </w:r>
    </w:p>
    <w:sectPr w:rsidR="0002493D" w:rsidRPr="0002493D"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2FFC"/>
    <w:multiLevelType w:val="hybridMultilevel"/>
    <w:tmpl w:val="45FC2E00"/>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3E44C7"/>
    <w:multiLevelType w:val="hybridMultilevel"/>
    <w:tmpl w:val="AF480FA4"/>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9E29BC"/>
    <w:multiLevelType w:val="hybridMultilevel"/>
    <w:tmpl w:val="7B8E6E74"/>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987954">
    <w:abstractNumId w:val="0"/>
  </w:num>
  <w:num w:numId="2" w16cid:durableId="519589140">
    <w:abstractNumId w:val="2"/>
  </w:num>
  <w:num w:numId="3" w16cid:durableId="135484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A"/>
    <w:rsid w:val="00002A4F"/>
    <w:rsid w:val="0001354A"/>
    <w:rsid w:val="0002493D"/>
    <w:rsid w:val="000B1D1B"/>
    <w:rsid w:val="001C457D"/>
    <w:rsid w:val="00217067"/>
    <w:rsid w:val="00394EDE"/>
    <w:rsid w:val="00430BA1"/>
    <w:rsid w:val="004678FF"/>
    <w:rsid w:val="005C102E"/>
    <w:rsid w:val="006F17BC"/>
    <w:rsid w:val="00755043"/>
    <w:rsid w:val="007A4C47"/>
    <w:rsid w:val="00826950"/>
    <w:rsid w:val="008500E5"/>
    <w:rsid w:val="0088756E"/>
    <w:rsid w:val="008B0F29"/>
    <w:rsid w:val="00955ABF"/>
    <w:rsid w:val="00971601"/>
    <w:rsid w:val="009A305E"/>
    <w:rsid w:val="009B286C"/>
    <w:rsid w:val="00A24625"/>
    <w:rsid w:val="00A64260"/>
    <w:rsid w:val="00AD59C7"/>
    <w:rsid w:val="00B431D4"/>
    <w:rsid w:val="00C8734E"/>
    <w:rsid w:val="00C96992"/>
    <w:rsid w:val="00CF4F1D"/>
    <w:rsid w:val="00D51ED3"/>
    <w:rsid w:val="00D83817"/>
    <w:rsid w:val="00DC2D81"/>
    <w:rsid w:val="00DF00E2"/>
    <w:rsid w:val="00EE1933"/>
    <w:rsid w:val="00EE6464"/>
    <w:rsid w:val="00EF295C"/>
    <w:rsid w:val="00F25D1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105E"/>
  <w15:chartTrackingRefBased/>
  <w15:docId w15:val="{F5EBC434-7DB5-4108-8A44-1D197BFB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25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25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25D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25D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F25D1A"/>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F25D1A"/>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F25D1A"/>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F25D1A"/>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25D1A"/>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D1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25D1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25D1A"/>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25D1A"/>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F25D1A"/>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F25D1A"/>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25D1A"/>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25D1A"/>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25D1A"/>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25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5D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5D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5D1A"/>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F25D1A"/>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25D1A"/>
    <w:rPr>
      <w:i/>
      <w:iCs/>
      <w:color w:val="404040" w:themeColor="text1" w:themeTint="BF"/>
    </w:rPr>
  </w:style>
  <w:style w:type="paragraph" w:styleId="Akapitzlist">
    <w:name w:val="List Paragraph"/>
    <w:basedOn w:val="Normalny"/>
    <w:uiPriority w:val="34"/>
    <w:qFormat/>
    <w:rsid w:val="00F25D1A"/>
    <w:pPr>
      <w:ind w:left="720"/>
      <w:contextualSpacing/>
    </w:pPr>
  </w:style>
  <w:style w:type="character" w:styleId="Wyrnienieintensywne">
    <w:name w:val="Intense Emphasis"/>
    <w:basedOn w:val="Domylnaczcionkaakapitu"/>
    <w:uiPriority w:val="21"/>
    <w:qFormat/>
    <w:rsid w:val="00F25D1A"/>
    <w:rPr>
      <w:i/>
      <w:iCs/>
      <w:color w:val="0F4761" w:themeColor="accent1" w:themeShade="BF"/>
    </w:rPr>
  </w:style>
  <w:style w:type="paragraph" w:styleId="Cytatintensywny">
    <w:name w:val="Intense Quote"/>
    <w:basedOn w:val="Normalny"/>
    <w:next w:val="Normalny"/>
    <w:link w:val="CytatintensywnyZnak"/>
    <w:uiPriority w:val="30"/>
    <w:qFormat/>
    <w:rsid w:val="00F25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25D1A"/>
    <w:rPr>
      <w:i/>
      <w:iCs/>
      <w:color w:val="0F4761" w:themeColor="accent1" w:themeShade="BF"/>
    </w:rPr>
  </w:style>
  <w:style w:type="character" w:styleId="Odwoanieintensywne">
    <w:name w:val="Intense Reference"/>
    <w:basedOn w:val="Domylnaczcionkaakapitu"/>
    <w:uiPriority w:val="32"/>
    <w:qFormat/>
    <w:rsid w:val="00F25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bf8c7a8-e008-49a7-9e43-ab76976c4bf8}" enabled="0" method="" siteId="{9bf8c7a8-e008-49a7-9e43-ab76976c4bf8}"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777</Words>
  <Characters>4073</Characters>
  <Application>Microsoft Office Word</Application>
  <DocSecurity>0</DocSecurity>
  <Lines>86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22</cp:revision>
  <dcterms:created xsi:type="dcterms:W3CDTF">2026-02-11T10:06:00Z</dcterms:created>
  <dcterms:modified xsi:type="dcterms:W3CDTF">2026-02-11T11:28:00Z</dcterms:modified>
</cp:coreProperties>
</file>